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50E0AA4" w14:textId="77777777" w:rsidR="00C9235B" w:rsidRDefault="00C9235B" w:rsidP="00C9235B">
      <w:pPr>
        <w:spacing w:after="0" w:line="240" w:lineRule="auto"/>
        <w:ind w:left="5660" w:firstLine="700"/>
        <w:jc w:val="right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ДОДАТОК 4</w:t>
      </w:r>
    </w:p>
    <w:p w14:paraId="36BB2958" w14:textId="77777777" w:rsidR="00C9235B" w:rsidRDefault="00C9235B" w:rsidP="00C9235B">
      <w:pPr>
        <w:spacing w:after="0" w:line="240" w:lineRule="auto"/>
        <w:ind w:left="5660" w:firstLine="700"/>
        <w:jc w:val="right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i/>
          <w:sz w:val="24"/>
          <w:szCs w:val="24"/>
        </w:rPr>
        <w:t xml:space="preserve">до </w:t>
      </w:r>
      <w:proofErr w:type="spellStart"/>
      <w:r>
        <w:rPr>
          <w:rFonts w:ascii="Times New Roman" w:eastAsia="Times New Roman" w:hAnsi="Times New Roman" w:cs="Times New Roman"/>
          <w:i/>
          <w:sz w:val="24"/>
          <w:szCs w:val="24"/>
        </w:rPr>
        <w:t>тендерної</w:t>
      </w:r>
      <w:proofErr w:type="spellEnd"/>
      <w:r>
        <w:rPr>
          <w:rFonts w:ascii="Times New Roman" w:eastAsia="Times New Roman" w:hAnsi="Times New Roman" w:cs="Times New Roman"/>
          <w:i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i/>
          <w:sz w:val="24"/>
          <w:szCs w:val="24"/>
        </w:rPr>
        <w:t>документації</w:t>
      </w:r>
      <w:proofErr w:type="spellEnd"/>
    </w:p>
    <w:p w14:paraId="452DE0DF" w14:textId="77777777" w:rsidR="00C9235B" w:rsidRDefault="00C9235B" w:rsidP="00C9235B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highlight w:val="white"/>
        </w:rPr>
      </w:pPr>
    </w:p>
    <w:p w14:paraId="0C18A4EE" w14:textId="77777777" w:rsidR="00C9235B" w:rsidRDefault="00C9235B" w:rsidP="00C9235B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6"/>
          <w:szCs w:val="26"/>
          <w:highlight w:val="white"/>
        </w:rPr>
      </w:pPr>
      <w:proofErr w:type="spellStart"/>
      <w:r>
        <w:rPr>
          <w:rFonts w:ascii="Times New Roman" w:eastAsia="Times New Roman" w:hAnsi="Times New Roman" w:cs="Times New Roman"/>
          <w:b/>
          <w:color w:val="000000"/>
          <w:sz w:val="26"/>
          <w:szCs w:val="26"/>
          <w:highlight w:val="white"/>
        </w:rPr>
        <w:t>Перелік</w:t>
      </w:r>
      <w:proofErr w:type="spellEnd"/>
      <w:r>
        <w:rPr>
          <w:rFonts w:ascii="Times New Roman" w:eastAsia="Times New Roman" w:hAnsi="Times New Roman" w:cs="Times New Roman"/>
          <w:b/>
          <w:color w:val="000000"/>
          <w:sz w:val="26"/>
          <w:szCs w:val="26"/>
          <w:highlight w:val="white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color w:val="000000"/>
          <w:sz w:val="26"/>
          <w:szCs w:val="26"/>
          <w:highlight w:val="white"/>
        </w:rPr>
        <w:t>документів</w:t>
      </w:r>
      <w:proofErr w:type="spellEnd"/>
      <w:r>
        <w:rPr>
          <w:rFonts w:ascii="Times New Roman" w:eastAsia="Times New Roman" w:hAnsi="Times New Roman" w:cs="Times New Roman"/>
          <w:b/>
          <w:color w:val="000000"/>
          <w:sz w:val="26"/>
          <w:szCs w:val="26"/>
          <w:highlight w:val="white"/>
        </w:rPr>
        <w:t xml:space="preserve"> та/</w:t>
      </w:r>
      <w:proofErr w:type="spellStart"/>
      <w:r>
        <w:rPr>
          <w:rFonts w:ascii="Times New Roman" w:eastAsia="Times New Roman" w:hAnsi="Times New Roman" w:cs="Times New Roman"/>
          <w:b/>
          <w:color w:val="000000"/>
          <w:sz w:val="26"/>
          <w:szCs w:val="26"/>
          <w:highlight w:val="white"/>
        </w:rPr>
        <w:t>або</w:t>
      </w:r>
      <w:proofErr w:type="spellEnd"/>
      <w:r>
        <w:rPr>
          <w:rFonts w:ascii="Times New Roman" w:eastAsia="Times New Roman" w:hAnsi="Times New Roman" w:cs="Times New Roman"/>
          <w:b/>
          <w:color w:val="000000"/>
          <w:sz w:val="26"/>
          <w:szCs w:val="26"/>
          <w:highlight w:val="white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color w:val="000000"/>
          <w:sz w:val="26"/>
          <w:szCs w:val="26"/>
          <w:highlight w:val="white"/>
        </w:rPr>
        <w:t>інформації</w:t>
      </w:r>
      <w:proofErr w:type="spellEnd"/>
      <w:r>
        <w:rPr>
          <w:rFonts w:ascii="Times New Roman" w:eastAsia="Times New Roman" w:hAnsi="Times New Roman" w:cs="Times New Roman"/>
          <w:b/>
          <w:color w:val="000000"/>
          <w:sz w:val="26"/>
          <w:szCs w:val="26"/>
          <w:highlight w:val="white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b/>
          <w:color w:val="000000"/>
          <w:sz w:val="26"/>
          <w:szCs w:val="26"/>
          <w:highlight w:val="white"/>
        </w:rPr>
        <w:t>які</w:t>
      </w:r>
      <w:proofErr w:type="spellEnd"/>
      <w:r>
        <w:rPr>
          <w:rFonts w:ascii="Times New Roman" w:eastAsia="Times New Roman" w:hAnsi="Times New Roman" w:cs="Times New Roman"/>
          <w:b/>
          <w:color w:val="000000"/>
          <w:sz w:val="26"/>
          <w:szCs w:val="26"/>
          <w:highlight w:val="white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color w:val="000000"/>
          <w:sz w:val="26"/>
          <w:szCs w:val="26"/>
          <w:highlight w:val="white"/>
        </w:rPr>
        <w:t>подаються</w:t>
      </w:r>
      <w:proofErr w:type="spellEnd"/>
      <w:r>
        <w:rPr>
          <w:rFonts w:ascii="Times New Roman" w:eastAsia="Times New Roman" w:hAnsi="Times New Roman" w:cs="Times New Roman"/>
          <w:b/>
          <w:color w:val="000000"/>
          <w:sz w:val="26"/>
          <w:szCs w:val="26"/>
          <w:highlight w:val="white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sz w:val="26"/>
          <w:szCs w:val="26"/>
          <w:highlight w:val="white"/>
        </w:rPr>
        <w:t>Переможцем</w:t>
      </w:r>
      <w:proofErr w:type="spellEnd"/>
    </w:p>
    <w:p w14:paraId="287BF0BD" w14:textId="77777777" w:rsidR="00C9235B" w:rsidRDefault="00C9235B" w:rsidP="00C9235B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6"/>
          <w:szCs w:val="26"/>
          <w:highlight w:val="white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color w:val="000000"/>
          <w:sz w:val="26"/>
          <w:szCs w:val="26"/>
          <w:highlight w:val="white"/>
        </w:rPr>
        <w:t>процедури</w:t>
      </w:r>
      <w:proofErr w:type="spellEnd"/>
      <w:r>
        <w:rPr>
          <w:rFonts w:ascii="Times New Roman" w:eastAsia="Times New Roman" w:hAnsi="Times New Roman" w:cs="Times New Roman"/>
          <w:b/>
          <w:color w:val="000000"/>
          <w:sz w:val="26"/>
          <w:szCs w:val="26"/>
          <w:highlight w:val="white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color w:val="000000"/>
          <w:sz w:val="26"/>
          <w:szCs w:val="26"/>
          <w:highlight w:val="white"/>
        </w:rPr>
        <w:t>закупівлі</w:t>
      </w:r>
      <w:proofErr w:type="spellEnd"/>
    </w:p>
    <w:p w14:paraId="35CF57EE" w14:textId="77777777" w:rsidR="00C9235B" w:rsidRDefault="00C9235B" w:rsidP="00C9235B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tbl>
      <w:tblPr>
        <w:tblW w:w="10125" w:type="dxa"/>
        <w:tblInd w:w="-27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720"/>
        <w:gridCol w:w="4605"/>
        <w:gridCol w:w="4800"/>
      </w:tblGrid>
      <w:tr w:rsidR="00C9235B" w14:paraId="69A7720B" w14:textId="77777777" w:rsidTr="0091338C">
        <w:trPr>
          <w:trHeight w:val="600"/>
        </w:trPr>
        <w:tc>
          <w:tcPr>
            <w:tcW w:w="10125" w:type="dxa"/>
            <w:gridSpan w:val="3"/>
            <w:shd w:val="clear" w:color="auto" w:fill="D9D9D9"/>
          </w:tcPr>
          <w:p w14:paraId="6E6D140F" w14:textId="77777777" w:rsidR="00C9235B" w:rsidRDefault="00C9235B" w:rsidP="0091338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І. 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Перелік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документів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для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підтвердження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відповідності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Переможця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вимогам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визначеним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у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пункті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47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Особливостей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.</w:t>
            </w:r>
          </w:p>
        </w:tc>
      </w:tr>
      <w:tr w:rsidR="00C9235B" w14:paraId="15DD2F42" w14:textId="77777777" w:rsidTr="0091338C">
        <w:tc>
          <w:tcPr>
            <w:tcW w:w="720" w:type="dxa"/>
          </w:tcPr>
          <w:p w14:paraId="57CEEDBB" w14:textId="77777777" w:rsidR="00C9235B" w:rsidRDefault="00C9235B" w:rsidP="0091338C">
            <w:pPr>
              <w:ind w:left="10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white"/>
              </w:rPr>
              <w:t>№</w:t>
            </w:r>
          </w:p>
          <w:p w14:paraId="388301B1" w14:textId="77777777" w:rsidR="00C9235B" w:rsidRDefault="00C9235B" w:rsidP="0091338C">
            <w:pPr>
              <w:ind w:left="10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white"/>
              </w:rPr>
              <w:t>з/п</w:t>
            </w:r>
          </w:p>
        </w:tc>
        <w:tc>
          <w:tcPr>
            <w:tcW w:w="4605" w:type="dxa"/>
          </w:tcPr>
          <w:p w14:paraId="14E4A637" w14:textId="77777777" w:rsidR="00C9235B" w:rsidRDefault="00C9235B" w:rsidP="0091338C">
            <w:pPr>
              <w:ind w:left="10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white"/>
              </w:rPr>
              <w:t>Вимоги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white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white"/>
              </w:rPr>
              <w:t>згідно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white"/>
              </w:rPr>
              <w:t xml:space="preserve"> з пунктом 47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white"/>
              </w:rPr>
              <w:t>Особливостей</w:t>
            </w:r>
            <w:proofErr w:type="spellEnd"/>
          </w:p>
          <w:p w14:paraId="22C94753" w14:textId="77777777" w:rsidR="00C9235B" w:rsidRDefault="00C9235B" w:rsidP="0091338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800" w:type="dxa"/>
          </w:tcPr>
          <w:p w14:paraId="1EC20F99" w14:textId="77777777" w:rsidR="00C9235B" w:rsidRDefault="00C9235B" w:rsidP="0091338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white"/>
              </w:rPr>
              <w:t>Переможець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white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white"/>
              </w:rPr>
              <w:t>торгів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white"/>
              </w:rPr>
              <w:t xml:space="preserve"> на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white"/>
              </w:rPr>
              <w:t>виконання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white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white"/>
              </w:rPr>
              <w:t>вимоги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white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white"/>
              </w:rPr>
              <w:t>згідно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white"/>
              </w:rPr>
              <w:t xml:space="preserve"> з пунктом 47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white"/>
              </w:rPr>
              <w:t>Особливостей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white"/>
              </w:rPr>
              <w:t xml:space="preserve"> (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white"/>
              </w:rPr>
              <w:t>підтвердження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white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white"/>
              </w:rPr>
              <w:t>відсутності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white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white"/>
              </w:rPr>
              <w:t>підстав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white"/>
              </w:rPr>
              <w:t xml:space="preserve">)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 xml:space="preserve">у строк,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що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 xml:space="preserve"> не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перевищує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white"/>
                <w:u w:val="single"/>
              </w:rPr>
              <w:t>чотири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white"/>
                <w:u w:val="single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white"/>
                <w:u w:val="single"/>
              </w:rPr>
              <w:t>дні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white"/>
                <w:u w:val="single"/>
              </w:rPr>
              <w:t xml:space="preserve"> з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white"/>
                <w:u w:val="single"/>
              </w:rPr>
              <w:t>дати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white"/>
                <w:u w:val="single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white"/>
                <w:u w:val="single"/>
              </w:rPr>
              <w:t>оприлюднення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white"/>
                <w:u w:val="single"/>
              </w:rPr>
              <w:t xml:space="preserve"> в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white"/>
                <w:u w:val="single"/>
              </w:rPr>
              <w:t>електронній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white"/>
                <w:u w:val="single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white"/>
                <w:u w:val="single"/>
              </w:rPr>
              <w:t>системі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white"/>
                <w:u w:val="single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white"/>
                <w:u w:val="single"/>
              </w:rPr>
              <w:t>закупівель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white"/>
                <w:u w:val="single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white"/>
                <w:u w:val="single"/>
              </w:rPr>
              <w:t>повідомлення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white"/>
                <w:u w:val="single"/>
              </w:rPr>
              <w:t xml:space="preserve"> про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white"/>
                <w:u w:val="single"/>
              </w:rPr>
              <w:t>намір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white"/>
                <w:u w:val="single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white"/>
                <w:u w:val="single"/>
              </w:rPr>
              <w:t>укласти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white"/>
                <w:u w:val="single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white"/>
                <w:u w:val="single"/>
              </w:rPr>
              <w:t>договір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white"/>
                <w:u w:val="single"/>
              </w:rPr>
              <w:t xml:space="preserve"> про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white"/>
                <w:u w:val="single"/>
              </w:rPr>
              <w:t>закупівлю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 xml:space="preserve">, повинен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надати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замовнику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 xml:space="preserve"> шляхом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оприлюднення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 xml:space="preserve"> в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електронній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системі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закупівель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документи</w:t>
            </w:r>
            <w:proofErr w:type="spellEnd"/>
          </w:p>
        </w:tc>
      </w:tr>
      <w:tr w:rsidR="00C9235B" w14:paraId="584185F6" w14:textId="77777777" w:rsidTr="0091338C">
        <w:trPr>
          <w:trHeight w:val="428"/>
        </w:trPr>
        <w:tc>
          <w:tcPr>
            <w:tcW w:w="10125" w:type="dxa"/>
            <w:gridSpan w:val="3"/>
          </w:tcPr>
          <w:p w14:paraId="616AC62D" w14:textId="77777777" w:rsidR="00C9235B" w:rsidRDefault="00C9235B" w:rsidP="0091338C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 w:after="120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highlight w:val="white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highlight w:val="white"/>
              </w:rPr>
              <w:t>Документи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highlight w:val="white"/>
              </w:rPr>
              <w:t xml:space="preserve">,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highlight w:val="white"/>
              </w:rPr>
              <w:t>які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highlight w:val="white"/>
              </w:rPr>
              <w:t xml:space="preserve"> </w:t>
            </w:r>
            <w:proofErr w:type="spellStart"/>
            <w:proofErr w:type="gramStart"/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highlight w:val="white"/>
              </w:rPr>
              <w:t>надаються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highlight w:val="white"/>
              </w:rPr>
              <w:t>  ПЕРЕМОЖЦЕМ</w:t>
            </w:r>
            <w:proofErr w:type="gramEnd"/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highlight w:val="white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i/>
                <w:color w:val="000000"/>
                <w:sz w:val="20"/>
                <w:szCs w:val="20"/>
                <w:highlight w:val="white"/>
              </w:rPr>
              <w:t>(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i/>
                <w:color w:val="000000"/>
                <w:sz w:val="20"/>
                <w:szCs w:val="20"/>
                <w:highlight w:val="white"/>
              </w:rPr>
              <w:t>юридичною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i/>
                <w:color w:val="000000"/>
                <w:sz w:val="20"/>
                <w:szCs w:val="20"/>
                <w:highlight w:val="white"/>
              </w:rPr>
              <w:t xml:space="preserve"> особою)</w:t>
            </w: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highlight w:val="white"/>
              </w:rPr>
              <w:t>:</w:t>
            </w:r>
          </w:p>
        </w:tc>
      </w:tr>
      <w:tr w:rsidR="004A17CC" w14:paraId="3689F893" w14:textId="77777777" w:rsidTr="0091338C">
        <w:tc>
          <w:tcPr>
            <w:tcW w:w="720" w:type="dxa"/>
          </w:tcPr>
          <w:p w14:paraId="64BD117F" w14:textId="77777777" w:rsidR="004A17CC" w:rsidRPr="004A17CC" w:rsidRDefault="004A17CC" w:rsidP="004A17CC">
            <w:pPr>
              <w:ind w:left="100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white"/>
                <w:lang w:val="uk-UA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white"/>
                <w:lang w:val="uk-UA"/>
              </w:rPr>
              <w:t>1.1</w:t>
            </w:r>
          </w:p>
        </w:tc>
        <w:tc>
          <w:tcPr>
            <w:tcW w:w="4605" w:type="dxa"/>
          </w:tcPr>
          <w:p w14:paraId="44551AE4" w14:textId="77777777" w:rsidR="004A17CC" w:rsidRPr="004A17CC" w:rsidRDefault="004A17CC" w:rsidP="004A17C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  <w:lang w:val="uk-UA"/>
              </w:rPr>
            </w:pPr>
            <w:r w:rsidRPr="004A17CC"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  <w:lang w:val="uk-UA"/>
              </w:rPr>
              <w:t>Керівника учасника процедури закупівлі, фізичну особу, яка є учасником процедури закупівлі, було притягнуто згідно із законом  до відповідальності за вчинення корупційного правопорушення або правопорушення, пов’язаного з корупцією.</w:t>
            </w:r>
          </w:p>
          <w:p w14:paraId="0FF569EF" w14:textId="77777777" w:rsidR="004A17CC" w:rsidRDefault="004A17CC" w:rsidP="004A17C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white"/>
              </w:rPr>
              <w:t>(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white"/>
              </w:rPr>
              <w:t>підпункт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white"/>
              </w:rPr>
              <w:t xml:space="preserve"> 3 пункт 47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white"/>
              </w:rPr>
              <w:t>Особливостей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white"/>
              </w:rPr>
              <w:t>)</w:t>
            </w:r>
          </w:p>
        </w:tc>
        <w:tc>
          <w:tcPr>
            <w:tcW w:w="4800" w:type="dxa"/>
          </w:tcPr>
          <w:p w14:paraId="54EDA5C7" w14:textId="77777777" w:rsidR="004A17CC" w:rsidRDefault="004A17CC" w:rsidP="004A17CC">
            <w:pPr>
              <w:spacing w:after="0" w:line="276" w:lineRule="auto"/>
              <w:ind w:right="140"/>
              <w:jc w:val="both"/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white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white"/>
              </w:rPr>
              <w:t>Перевіряється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white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white"/>
              </w:rPr>
              <w:t>безпосередньо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white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white"/>
              </w:rPr>
              <w:t>замовником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white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white"/>
              </w:rPr>
              <w:t>самостійно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white"/>
              </w:rPr>
              <w:t xml:space="preserve">,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white"/>
              </w:rPr>
              <w:t>крім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white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white"/>
              </w:rPr>
              <w:t>випадків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white"/>
              </w:rPr>
              <w:t xml:space="preserve">, коли доступ до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white"/>
              </w:rPr>
              <w:t>такої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white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white"/>
              </w:rPr>
              <w:t>інформації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white"/>
              </w:rPr>
              <w:t xml:space="preserve"> є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white"/>
              </w:rPr>
              <w:t>обмеженим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white"/>
              </w:rPr>
              <w:t>*.</w:t>
            </w:r>
          </w:p>
          <w:p w14:paraId="3BFDA6B9" w14:textId="77777777" w:rsidR="004A17CC" w:rsidRDefault="004A17CC" w:rsidP="004A17CC">
            <w:pPr>
              <w:spacing w:after="0" w:line="276" w:lineRule="auto"/>
              <w:ind w:right="140"/>
              <w:jc w:val="both"/>
              <w:rPr>
                <w:rFonts w:ascii="Times New Roman" w:eastAsia="Times New Roman" w:hAnsi="Times New Roman" w:cs="Times New Roman"/>
                <w:i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i/>
                <w:sz w:val="20"/>
                <w:szCs w:val="20"/>
                <w:highlight w:val="white"/>
              </w:rPr>
              <w:t xml:space="preserve">*З 04.09.2023 р.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sz w:val="20"/>
                <w:szCs w:val="20"/>
                <w:highlight w:val="white"/>
              </w:rPr>
              <w:t>Національне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sz w:val="20"/>
                <w:szCs w:val="20"/>
                <w:highlight w:val="white"/>
              </w:rPr>
              <w:t xml:space="preserve"> агентство з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sz w:val="20"/>
                <w:szCs w:val="20"/>
                <w:highlight w:val="white"/>
              </w:rPr>
              <w:t>питань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sz w:val="20"/>
                <w:szCs w:val="20"/>
                <w:highlight w:val="white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sz w:val="20"/>
                <w:szCs w:val="20"/>
                <w:highlight w:val="white"/>
              </w:rPr>
              <w:t>запобігання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sz w:val="20"/>
                <w:szCs w:val="20"/>
                <w:highlight w:val="white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sz w:val="20"/>
                <w:szCs w:val="20"/>
                <w:highlight w:val="white"/>
              </w:rPr>
              <w:t>корупції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sz w:val="20"/>
                <w:szCs w:val="20"/>
                <w:highlight w:val="white"/>
              </w:rPr>
              <w:t xml:space="preserve"> (НАЗК)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sz w:val="20"/>
                <w:szCs w:val="20"/>
                <w:highlight w:val="white"/>
              </w:rPr>
              <w:t>відкрило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sz w:val="20"/>
                <w:szCs w:val="20"/>
                <w:highlight w:val="white"/>
              </w:rPr>
              <w:t xml:space="preserve"> доступ до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sz w:val="20"/>
                <w:szCs w:val="20"/>
                <w:highlight w:val="white"/>
              </w:rPr>
              <w:t>Реєстру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sz w:val="20"/>
                <w:szCs w:val="20"/>
                <w:highlight w:val="white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sz w:val="20"/>
                <w:szCs w:val="20"/>
                <w:highlight w:val="white"/>
              </w:rPr>
              <w:t>осіб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sz w:val="20"/>
                <w:szCs w:val="20"/>
                <w:highlight w:val="white"/>
              </w:rPr>
              <w:t xml:space="preserve">,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sz w:val="20"/>
                <w:szCs w:val="20"/>
                <w:highlight w:val="white"/>
              </w:rPr>
              <w:t>які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sz w:val="20"/>
                <w:szCs w:val="20"/>
                <w:highlight w:val="white"/>
              </w:rPr>
              <w:t xml:space="preserve"> вчинили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sz w:val="20"/>
                <w:szCs w:val="20"/>
                <w:highlight w:val="white"/>
              </w:rPr>
              <w:t>корупційні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sz w:val="20"/>
                <w:szCs w:val="20"/>
                <w:highlight w:val="white"/>
              </w:rPr>
              <w:t xml:space="preserve"> та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sz w:val="20"/>
                <w:szCs w:val="20"/>
                <w:highlight w:val="white"/>
              </w:rPr>
              <w:t>пов’язані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sz w:val="20"/>
                <w:szCs w:val="20"/>
                <w:highlight w:val="white"/>
              </w:rPr>
              <w:t xml:space="preserve"> з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sz w:val="20"/>
                <w:szCs w:val="20"/>
                <w:highlight w:val="white"/>
              </w:rPr>
              <w:t>корупцією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sz w:val="20"/>
                <w:szCs w:val="20"/>
                <w:highlight w:val="white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sz w:val="20"/>
                <w:szCs w:val="20"/>
                <w:highlight w:val="white"/>
              </w:rPr>
              <w:t>правопорушення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sz w:val="20"/>
                <w:szCs w:val="20"/>
                <w:highlight w:val="white"/>
              </w:rPr>
              <w:t xml:space="preserve">, з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sz w:val="20"/>
                <w:szCs w:val="20"/>
                <w:highlight w:val="white"/>
              </w:rPr>
              <w:t>урахуванням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sz w:val="20"/>
                <w:szCs w:val="20"/>
                <w:highlight w:val="white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sz w:val="20"/>
                <w:szCs w:val="20"/>
                <w:highlight w:val="white"/>
              </w:rPr>
              <w:t>безпекових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sz w:val="20"/>
                <w:szCs w:val="20"/>
                <w:highlight w:val="white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sz w:val="20"/>
                <w:szCs w:val="20"/>
                <w:highlight w:val="white"/>
              </w:rPr>
              <w:t>аспектів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sz w:val="20"/>
                <w:szCs w:val="20"/>
                <w:highlight w:val="white"/>
              </w:rPr>
              <w:t xml:space="preserve">.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sz w:val="20"/>
                <w:szCs w:val="20"/>
                <w:highlight w:val="white"/>
              </w:rPr>
              <w:t>Проте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sz w:val="20"/>
                <w:szCs w:val="20"/>
                <w:highlight w:val="white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sz w:val="20"/>
                <w:szCs w:val="20"/>
                <w:highlight w:val="white"/>
              </w:rPr>
              <w:t>згідно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sz w:val="20"/>
                <w:szCs w:val="20"/>
                <w:highlight w:val="white"/>
              </w:rPr>
              <w:t xml:space="preserve"> з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sz w:val="20"/>
                <w:szCs w:val="20"/>
                <w:highlight w:val="white"/>
              </w:rPr>
              <w:t>постановою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sz w:val="20"/>
                <w:szCs w:val="20"/>
                <w:highlight w:val="white"/>
              </w:rPr>
              <w:t xml:space="preserve"> КМУ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sz w:val="20"/>
                <w:szCs w:val="20"/>
                <w:highlight w:val="white"/>
              </w:rPr>
              <w:t>від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sz w:val="20"/>
                <w:szCs w:val="20"/>
                <w:highlight w:val="white"/>
              </w:rPr>
              <w:t xml:space="preserve"> 12.03.2022 р. № 263, яка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sz w:val="20"/>
                <w:szCs w:val="20"/>
                <w:highlight w:val="white"/>
              </w:rPr>
              <w:t>застосовується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sz w:val="20"/>
                <w:szCs w:val="20"/>
                <w:highlight w:val="white"/>
              </w:rPr>
              <w:t xml:space="preserve"> до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sz w:val="20"/>
                <w:szCs w:val="20"/>
                <w:highlight w:val="white"/>
              </w:rPr>
              <w:t>припинення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sz w:val="20"/>
                <w:szCs w:val="20"/>
                <w:highlight w:val="white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sz w:val="20"/>
                <w:szCs w:val="20"/>
                <w:highlight w:val="white"/>
              </w:rPr>
              <w:t>чи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sz w:val="20"/>
                <w:szCs w:val="20"/>
                <w:highlight w:val="white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sz w:val="20"/>
                <w:szCs w:val="20"/>
                <w:highlight w:val="white"/>
              </w:rPr>
              <w:t>скасування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sz w:val="20"/>
                <w:szCs w:val="20"/>
                <w:highlight w:val="white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sz w:val="20"/>
                <w:szCs w:val="20"/>
                <w:highlight w:val="white"/>
              </w:rPr>
              <w:t>воєнного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sz w:val="20"/>
                <w:szCs w:val="20"/>
                <w:highlight w:val="white"/>
              </w:rPr>
              <w:t xml:space="preserve"> стану,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sz w:val="20"/>
                <w:szCs w:val="20"/>
                <w:highlight w:val="white"/>
              </w:rPr>
              <w:t>інформаційні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sz w:val="20"/>
                <w:szCs w:val="20"/>
                <w:highlight w:val="white"/>
              </w:rPr>
              <w:t xml:space="preserve">,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sz w:val="20"/>
                <w:szCs w:val="20"/>
                <w:highlight w:val="white"/>
              </w:rPr>
              <w:t>інформаційно-комунікаційні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sz w:val="20"/>
                <w:szCs w:val="20"/>
                <w:highlight w:val="white"/>
              </w:rPr>
              <w:t xml:space="preserve"> та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sz w:val="20"/>
                <w:szCs w:val="20"/>
                <w:highlight w:val="white"/>
              </w:rPr>
              <w:t>електронні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sz w:val="20"/>
                <w:szCs w:val="20"/>
                <w:highlight w:val="white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sz w:val="20"/>
                <w:szCs w:val="20"/>
                <w:highlight w:val="white"/>
              </w:rPr>
              <w:t>комунікаційні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sz w:val="20"/>
                <w:szCs w:val="20"/>
                <w:highlight w:val="white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sz w:val="20"/>
                <w:szCs w:val="20"/>
                <w:highlight w:val="white"/>
              </w:rPr>
              <w:t>системи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sz w:val="20"/>
                <w:szCs w:val="20"/>
                <w:highlight w:val="white"/>
              </w:rPr>
              <w:t xml:space="preserve">,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sz w:val="20"/>
                <w:szCs w:val="20"/>
                <w:highlight w:val="white"/>
              </w:rPr>
              <w:t>публічні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sz w:val="20"/>
                <w:szCs w:val="20"/>
                <w:highlight w:val="white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sz w:val="20"/>
                <w:szCs w:val="20"/>
                <w:highlight w:val="white"/>
              </w:rPr>
              <w:t>електронні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sz w:val="20"/>
                <w:szCs w:val="20"/>
                <w:highlight w:val="white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sz w:val="20"/>
                <w:szCs w:val="20"/>
                <w:highlight w:val="white"/>
              </w:rPr>
              <w:t>реєстри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sz w:val="20"/>
                <w:szCs w:val="20"/>
                <w:highlight w:val="white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sz w:val="20"/>
                <w:szCs w:val="20"/>
                <w:highlight w:val="white"/>
              </w:rPr>
              <w:t>можуть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sz w:val="20"/>
                <w:szCs w:val="20"/>
                <w:highlight w:val="white"/>
              </w:rPr>
              <w:t xml:space="preserve"> як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sz w:val="20"/>
                <w:szCs w:val="20"/>
                <w:highlight w:val="white"/>
              </w:rPr>
              <w:t>зупиняти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sz w:val="20"/>
                <w:szCs w:val="20"/>
                <w:highlight w:val="white"/>
              </w:rPr>
              <w:t xml:space="preserve">,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sz w:val="20"/>
                <w:szCs w:val="20"/>
                <w:highlight w:val="white"/>
              </w:rPr>
              <w:t>обмежувати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highlight w:val="white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i/>
                <w:sz w:val="20"/>
                <w:szCs w:val="20"/>
                <w:highlight w:val="white"/>
              </w:rPr>
              <w:t xml:space="preserve">свою роботу, так і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sz w:val="20"/>
                <w:szCs w:val="20"/>
                <w:highlight w:val="white"/>
              </w:rPr>
              <w:t>відкриватись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sz w:val="20"/>
                <w:szCs w:val="20"/>
                <w:highlight w:val="white"/>
              </w:rPr>
              <w:t xml:space="preserve">,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sz w:val="20"/>
                <w:szCs w:val="20"/>
                <w:highlight w:val="white"/>
              </w:rPr>
              <w:t>поновлюватись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sz w:val="20"/>
                <w:szCs w:val="20"/>
                <w:highlight w:val="white"/>
              </w:rPr>
              <w:t xml:space="preserve"> у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sz w:val="20"/>
                <w:szCs w:val="20"/>
                <w:highlight w:val="white"/>
              </w:rPr>
              <w:t>період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sz w:val="20"/>
                <w:szCs w:val="20"/>
                <w:highlight w:val="white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sz w:val="20"/>
                <w:szCs w:val="20"/>
                <w:highlight w:val="white"/>
              </w:rPr>
              <w:t>воєнного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sz w:val="20"/>
                <w:szCs w:val="20"/>
                <w:highlight w:val="white"/>
              </w:rPr>
              <w:t xml:space="preserve"> стану.</w:t>
            </w:r>
          </w:p>
          <w:p w14:paraId="0CF1E279" w14:textId="77777777" w:rsidR="004A17CC" w:rsidRDefault="004A17CC" w:rsidP="004A17CC">
            <w:pPr>
              <w:spacing w:after="0" w:line="256" w:lineRule="auto"/>
              <w:ind w:right="140"/>
              <w:jc w:val="both"/>
              <w:rPr>
                <w:rFonts w:ascii="Times New Roman" w:eastAsia="Times New Roman" w:hAnsi="Times New Roman" w:cs="Times New Roman"/>
                <w:i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i/>
                <w:sz w:val="20"/>
                <w:szCs w:val="20"/>
                <w:highlight w:val="white"/>
              </w:rPr>
              <w:t xml:space="preserve">Таким чином у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sz w:val="20"/>
                <w:szCs w:val="20"/>
                <w:highlight w:val="white"/>
              </w:rPr>
              <w:t>разі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sz w:val="20"/>
                <w:szCs w:val="20"/>
                <w:highlight w:val="white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sz w:val="20"/>
                <w:szCs w:val="20"/>
                <w:highlight w:val="white"/>
              </w:rPr>
              <w:t>якщо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sz w:val="20"/>
                <w:szCs w:val="20"/>
                <w:highlight w:val="white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sz w:val="20"/>
                <w:szCs w:val="20"/>
                <w:highlight w:val="white"/>
              </w:rPr>
              <w:t>інформаційні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sz w:val="20"/>
                <w:szCs w:val="20"/>
                <w:highlight w:val="white"/>
              </w:rPr>
              <w:t xml:space="preserve">,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sz w:val="20"/>
                <w:szCs w:val="20"/>
                <w:highlight w:val="white"/>
              </w:rPr>
              <w:t>інформаційно-комунікаційні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sz w:val="20"/>
                <w:szCs w:val="20"/>
                <w:highlight w:val="white"/>
              </w:rPr>
              <w:t xml:space="preserve"> та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sz w:val="20"/>
                <w:szCs w:val="20"/>
                <w:highlight w:val="white"/>
              </w:rPr>
              <w:t>електронні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sz w:val="20"/>
                <w:szCs w:val="20"/>
                <w:highlight w:val="white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sz w:val="20"/>
                <w:szCs w:val="20"/>
                <w:highlight w:val="white"/>
              </w:rPr>
              <w:t>комунікаційні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sz w:val="20"/>
                <w:szCs w:val="20"/>
                <w:highlight w:val="white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sz w:val="20"/>
                <w:szCs w:val="20"/>
                <w:highlight w:val="white"/>
              </w:rPr>
              <w:t>системи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sz w:val="20"/>
                <w:szCs w:val="20"/>
                <w:highlight w:val="white"/>
              </w:rPr>
              <w:t xml:space="preserve">,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sz w:val="20"/>
                <w:szCs w:val="20"/>
                <w:highlight w:val="white"/>
              </w:rPr>
              <w:t>публічні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sz w:val="20"/>
                <w:szCs w:val="20"/>
                <w:highlight w:val="white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sz w:val="20"/>
                <w:szCs w:val="20"/>
                <w:highlight w:val="white"/>
              </w:rPr>
              <w:t>електронні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sz w:val="20"/>
                <w:szCs w:val="20"/>
                <w:highlight w:val="white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sz w:val="20"/>
                <w:szCs w:val="20"/>
                <w:highlight w:val="white"/>
              </w:rPr>
              <w:t>реєстри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sz w:val="20"/>
                <w:szCs w:val="20"/>
                <w:highlight w:val="white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sz w:val="20"/>
                <w:szCs w:val="20"/>
                <w:highlight w:val="white"/>
              </w:rPr>
              <w:t>будуть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sz w:val="20"/>
                <w:szCs w:val="20"/>
                <w:highlight w:val="white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sz w:val="20"/>
                <w:szCs w:val="20"/>
                <w:highlight w:val="white"/>
              </w:rPr>
              <w:t>зупинені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sz w:val="20"/>
                <w:szCs w:val="20"/>
                <w:highlight w:val="white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sz w:val="20"/>
                <w:szCs w:val="20"/>
                <w:highlight w:val="white"/>
              </w:rPr>
              <w:t>або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sz w:val="20"/>
                <w:szCs w:val="20"/>
                <w:highlight w:val="white"/>
              </w:rPr>
              <w:t xml:space="preserve">,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sz w:val="20"/>
                <w:szCs w:val="20"/>
                <w:highlight w:val="white"/>
              </w:rPr>
              <w:t>обмежать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sz w:val="20"/>
                <w:szCs w:val="20"/>
                <w:highlight w:val="white"/>
              </w:rPr>
              <w:t xml:space="preserve"> свою роботу, то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sz w:val="20"/>
                <w:szCs w:val="20"/>
                <w:highlight w:val="white"/>
              </w:rPr>
              <w:t>інформаційна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sz w:val="20"/>
                <w:szCs w:val="20"/>
                <w:highlight w:val="white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sz w:val="20"/>
                <w:szCs w:val="20"/>
                <w:highlight w:val="white"/>
              </w:rPr>
              <w:t>довідка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sz w:val="20"/>
                <w:szCs w:val="20"/>
                <w:highlight w:val="white"/>
              </w:rPr>
              <w:t xml:space="preserve"> з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sz w:val="20"/>
                <w:szCs w:val="20"/>
                <w:highlight w:val="white"/>
              </w:rPr>
              <w:t>Єдиного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sz w:val="20"/>
                <w:szCs w:val="20"/>
                <w:highlight w:val="white"/>
              </w:rPr>
              <w:t xml:space="preserve"> державного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sz w:val="20"/>
                <w:szCs w:val="20"/>
                <w:highlight w:val="white"/>
              </w:rPr>
              <w:t>реєстру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sz w:val="20"/>
                <w:szCs w:val="20"/>
                <w:highlight w:val="white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sz w:val="20"/>
                <w:szCs w:val="20"/>
                <w:highlight w:val="white"/>
              </w:rPr>
              <w:t>осіб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sz w:val="20"/>
                <w:szCs w:val="20"/>
                <w:highlight w:val="white"/>
              </w:rPr>
              <w:t xml:space="preserve">,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sz w:val="20"/>
                <w:szCs w:val="20"/>
                <w:highlight w:val="white"/>
              </w:rPr>
              <w:t>які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sz w:val="20"/>
                <w:szCs w:val="20"/>
                <w:highlight w:val="white"/>
              </w:rPr>
              <w:t xml:space="preserve"> вчинили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sz w:val="20"/>
                <w:szCs w:val="20"/>
                <w:highlight w:val="white"/>
              </w:rPr>
              <w:t>корупційні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sz w:val="20"/>
                <w:szCs w:val="20"/>
                <w:highlight w:val="white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sz w:val="20"/>
                <w:szCs w:val="20"/>
                <w:highlight w:val="white"/>
              </w:rPr>
              <w:t>або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sz w:val="20"/>
                <w:szCs w:val="20"/>
                <w:highlight w:val="white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sz w:val="20"/>
                <w:szCs w:val="20"/>
                <w:highlight w:val="white"/>
              </w:rPr>
              <w:t>пов’язані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sz w:val="20"/>
                <w:szCs w:val="20"/>
                <w:highlight w:val="white"/>
              </w:rPr>
              <w:t xml:space="preserve"> з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sz w:val="20"/>
                <w:szCs w:val="20"/>
                <w:highlight w:val="white"/>
              </w:rPr>
              <w:t>корупцією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sz w:val="20"/>
                <w:szCs w:val="20"/>
                <w:highlight w:val="white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sz w:val="20"/>
                <w:szCs w:val="20"/>
                <w:highlight w:val="white"/>
              </w:rPr>
              <w:t>правопорушення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sz w:val="20"/>
                <w:szCs w:val="20"/>
                <w:highlight w:val="white"/>
              </w:rPr>
              <w:t xml:space="preserve">,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sz w:val="20"/>
                <w:szCs w:val="20"/>
                <w:highlight w:val="white"/>
              </w:rPr>
              <w:t>згідно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sz w:val="20"/>
                <w:szCs w:val="20"/>
                <w:highlight w:val="white"/>
              </w:rPr>
              <w:t xml:space="preserve"> з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sz w:val="20"/>
                <w:szCs w:val="20"/>
                <w:highlight w:val="white"/>
              </w:rPr>
              <w:t>якою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sz w:val="20"/>
                <w:szCs w:val="20"/>
                <w:highlight w:val="white"/>
              </w:rPr>
              <w:t xml:space="preserve"> не буде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sz w:val="20"/>
                <w:szCs w:val="20"/>
                <w:highlight w:val="white"/>
              </w:rPr>
              <w:t>знайдено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sz w:val="20"/>
                <w:szCs w:val="20"/>
                <w:highlight w:val="white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sz w:val="20"/>
                <w:szCs w:val="20"/>
                <w:highlight w:val="white"/>
              </w:rPr>
              <w:t>інформації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sz w:val="20"/>
                <w:szCs w:val="20"/>
                <w:highlight w:val="white"/>
              </w:rPr>
              <w:t xml:space="preserve"> про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sz w:val="20"/>
                <w:szCs w:val="20"/>
                <w:highlight w:val="white"/>
              </w:rPr>
              <w:t>корупційні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sz w:val="20"/>
                <w:szCs w:val="20"/>
                <w:highlight w:val="white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sz w:val="20"/>
                <w:szCs w:val="20"/>
                <w:highlight w:val="white"/>
              </w:rPr>
              <w:t>або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sz w:val="20"/>
                <w:szCs w:val="20"/>
                <w:highlight w:val="white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sz w:val="20"/>
                <w:szCs w:val="20"/>
                <w:highlight w:val="white"/>
              </w:rPr>
              <w:t>пов'язані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sz w:val="20"/>
                <w:szCs w:val="20"/>
                <w:highlight w:val="white"/>
              </w:rPr>
              <w:t xml:space="preserve"> з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sz w:val="20"/>
                <w:szCs w:val="20"/>
                <w:highlight w:val="white"/>
              </w:rPr>
              <w:t>корупцією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sz w:val="20"/>
                <w:szCs w:val="20"/>
                <w:highlight w:val="white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sz w:val="20"/>
                <w:szCs w:val="20"/>
                <w:highlight w:val="white"/>
              </w:rPr>
              <w:t>правопорушення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sz w:val="20"/>
                <w:szCs w:val="20"/>
                <w:highlight w:val="white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highlight w:val="white"/>
              </w:rPr>
              <w:t>керівника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highlight w:val="white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highlight w:val="white"/>
              </w:rPr>
              <w:t>учасника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sz w:val="20"/>
                <w:szCs w:val="20"/>
                <w:highlight w:val="white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sz w:val="20"/>
                <w:szCs w:val="20"/>
                <w:highlight w:val="white"/>
              </w:rPr>
              <w:t>процедури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sz w:val="20"/>
                <w:szCs w:val="20"/>
                <w:highlight w:val="white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sz w:val="20"/>
                <w:szCs w:val="20"/>
                <w:highlight w:val="white"/>
              </w:rPr>
              <w:t>закупівлі,на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sz w:val="20"/>
                <w:szCs w:val="20"/>
                <w:highlight w:val="white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sz w:val="20"/>
                <w:szCs w:val="20"/>
                <w:highlight w:val="white"/>
              </w:rPr>
              <w:t>виконання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sz w:val="20"/>
                <w:szCs w:val="20"/>
                <w:highlight w:val="white"/>
              </w:rPr>
              <w:t xml:space="preserve"> абзацу 15 пункту 47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sz w:val="20"/>
                <w:szCs w:val="20"/>
                <w:highlight w:val="white"/>
              </w:rPr>
              <w:t>Особливостей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sz w:val="20"/>
                <w:szCs w:val="20"/>
                <w:highlight w:val="white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sz w:val="20"/>
                <w:szCs w:val="20"/>
                <w:highlight w:val="white"/>
              </w:rPr>
              <w:t>надається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sz w:val="20"/>
                <w:szCs w:val="20"/>
                <w:highlight w:val="white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sz w:val="20"/>
                <w:szCs w:val="20"/>
                <w:highlight w:val="white"/>
              </w:rPr>
              <w:t>переможцем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sz w:val="20"/>
                <w:szCs w:val="20"/>
                <w:highlight w:val="white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sz w:val="20"/>
                <w:szCs w:val="20"/>
                <w:highlight w:val="white"/>
              </w:rPr>
              <w:t>торгів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sz w:val="20"/>
                <w:szCs w:val="20"/>
                <w:highlight w:val="white"/>
              </w:rPr>
              <w:t>.</w:t>
            </w:r>
          </w:p>
        </w:tc>
      </w:tr>
      <w:tr w:rsidR="004A17CC" w14:paraId="12642CEF" w14:textId="77777777" w:rsidTr="0091338C">
        <w:tc>
          <w:tcPr>
            <w:tcW w:w="720" w:type="dxa"/>
          </w:tcPr>
          <w:p w14:paraId="6611F737" w14:textId="77777777" w:rsidR="004A17CC" w:rsidRDefault="004A17CC" w:rsidP="004A17CC">
            <w:pPr>
              <w:ind w:left="100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white"/>
                <w:lang w:val="uk-UA"/>
              </w:rPr>
              <w:t>1.2</w:t>
            </w:r>
          </w:p>
        </w:tc>
        <w:tc>
          <w:tcPr>
            <w:tcW w:w="4605" w:type="dxa"/>
          </w:tcPr>
          <w:p w14:paraId="5A45F4B0" w14:textId="77777777" w:rsidR="004A17CC" w:rsidRDefault="004A17CC" w:rsidP="004A17CC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highlight w:val="white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highlight w:val="white"/>
              </w:rPr>
              <w:t>Керівник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highlight w:val="white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highlight w:val="white"/>
              </w:rPr>
              <w:t>учасника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highlight w:val="white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highlight w:val="white"/>
              </w:rPr>
              <w:t>процедури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highlight w:val="white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highlight w:val="white"/>
              </w:rPr>
              <w:t>закупівлі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highlight w:val="white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highlight w:val="white"/>
              </w:rPr>
              <w:t>був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highlight w:val="white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highlight w:val="white"/>
              </w:rPr>
              <w:t>засуджений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highlight w:val="white"/>
              </w:rPr>
              <w:t xml:space="preserve"> за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highlight w:val="white"/>
              </w:rPr>
              <w:t>кримінальне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highlight w:val="white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highlight w:val="white"/>
              </w:rPr>
              <w:t>правопорушення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highlight w:val="white"/>
              </w:rPr>
              <w:t xml:space="preserve">,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highlight w:val="white"/>
              </w:rPr>
              <w:t>вчинене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highlight w:val="white"/>
              </w:rPr>
              <w:t xml:space="preserve"> з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highlight w:val="white"/>
              </w:rPr>
              <w:t>корисливих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highlight w:val="white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highlight w:val="white"/>
              </w:rPr>
              <w:t>мотивів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highlight w:val="white"/>
              </w:rPr>
              <w:t xml:space="preserve"> (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highlight w:val="white"/>
              </w:rPr>
              <w:t>зокрема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highlight w:val="white"/>
              </w:rPr>
              <w:t xml:space="preserve">,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highlight w:val="white"/>
              </w:rPr>
              <w:t>пов’язане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highlight w:val="white"/>
              </w:rPr>
              <w:t xml:space="preserve"> з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highlight w:val="white"/>
              </w:rPr>
              <w:t>хабарництвом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highlight w:val="white"/>
              </w:rPr>
              <w:t xml:space="preserve">,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highlight w:val="white"/>
              </w:rPr>
              <w:t>шахрайством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highlight w:val="white"/>
              </w:rPr>
              <w:t xml:space="preserve"> та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highlight w:val="white"/>
              </w:rPr>
              <w:t>відмиванням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highlight w:val="white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highlight w:val="white"/>
              </w:rPr>
              <w:t>коштів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highlight w:val="white"/>
              </w:rPr>
              <w:t xml:space="preserve">),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highlight w:val="white"/>
              </w:rPr>
              <w:t>судимість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highlight w:val="white"/>
              </w:rPr>
              <w:t xml:space="preserve"> з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highlight w:val="white"/>
              </w:rPr>
              <w:t>якого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highlight w:val="white"/>
              </w:rPr>
              <w:t xml:space="preserve"> не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highlight w:val="white"/>
              </w:rPr>
              <w:t>знято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highlight w:val="white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highlight w:val="white"/>
              </w:rPr>
              <w:t>або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highlight w:val="white"/>
              </w:rPr>
              <w:t xml:space="preserve"> не погашено в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highlight w:val="white"/>
              </w:rPr>
              <w:t>установленому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highlight w:val="white"/>
              </w:rPr>
              <w:t xml:space="preserve"> законом порядку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highlight w:val="white"/>
              </w:rPr>
              <w:t>(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highlight w:val="white"/>
              </w:rPr>
              <w:t>підпункт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highlight w:val="white"/>
              </w:rPr>
              <w:t xml:space="preserve"> 6 пункту 47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highlight w:val="white"/>
              </w:rPr>
              <w:t>Особливостей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highlight w:val="white"/>
              </w:rPr>
              <w:t>).</w:t>
            </w:r>
          </w:p>
        </w:tc>
        <w:tc>
          <w:tcPr>
            <w:tcW w:w="4800" w:type="dxa"/>
            <w:vMerge w:val="restart"/>
          </w:tcPr>
          <w:p w14:paraId="48C8D981" w14:textId="77777777" w:rsidR="004A17CC" w:rsidRDefault="004A17CC" w:rsidP="004A17C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highlight w:val="white"/>
              </w:rPr>
              <w:t>Повний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highlight w:val="white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highlight w:val="white"/>
              </w:rPr>
              <w:t>витяг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highlight w:val="white"/>
              </w:rPr>
              <w:t xml:space="preserve"> з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highlight w:val="white"/>
              </w:rPr>
              <w:t>інформаційно-аналітичної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highlight w:val="white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highlight w:val="white"/>
              </w:rPr>
              <w:t>системи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highlight w:val="white"/>
              </w:rPr>
              <w:t xml:space="preserve"> «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highlight w:val="white"/>
              </w:rPr>
              <w:t>Облік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highlight w:val="white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highlight w:val="white"/>
              </w:rPr>
              <w:t>відомостей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highlight w:val="white"/>
              </w:rPr>
              <w:t xml:space="preserve"> про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highlight w:val="white"/>
              </w:rPr>
              <w:t>притягнення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highlight w:val="white"/>
              </w:rPr>
              <w:t xml:space="preserve"> особи до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highlight w:val="white"/>
              </w:rPr>
              <w:t>кримінальної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highlight w:val="white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highlight w:val="white"/>
              </w:rPr>
              <w:t>відповідальності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highlight w:val="white"/>
              </w:rPr>
              <w:t xml:space="preserve"> та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highlight w:val="white"/>
              </w:rPr>
              <w:t>наявності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highlight w:val="white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highlight w:val="white"/>
              </w:rPr>
              <w:t>судимості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highlight w:val="white"/>
              </w:rPr>
              <w:t xml:space="preserve">»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highlight w:val="white"/>
              </w:rPr>
              <w:t>сформований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highlight w:val="white"/>
              </w:rPr>
              <w:t xml:space="preserve"> у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highlight w:val="white"/>
              </w:rPr>
              <w:t>паперовій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highlight w:val="white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highlight w:val="white"/>
              </w:rPr>
              <w:t>або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highlight w:val="white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highlight w:val="white"/>
              </w:rPr>
              <w:t>електронній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highlight w:val="white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highlight w:val="white"/>
              </w:rPr>
              <w:t>формі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highlight w:val="white"/>
              </w:rPr>
              <w:t xml:space="preserve">,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highlight w:val="white"/>
              </w:rPr>
              <w:t>що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highlight w:val="white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highlight w:val="white"/>
              </w:rPr>
              <w:t>містить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highlight w:val="white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highlight w:val="white"/>
              </w:rPr>
              <w:t>інформацію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highlight w:val="white"/>
              </w:rPr>
              <w:t xml:space="preserve"> про 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highlight w:val="white"/>
              </w:rPr>
              <w:t>відсутність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highlight w:val="white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highlight w:val="white"/>
              </w:rPr>
              <w:t>судимості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highlight w:val="white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highlight w:val="white"/>
              </w:rPr>
              <w:t>або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highlight w:val="white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highlight w:val="white"/>
              </w:rPr>
              <w:t>обмежень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highlight w:val="white"/>
              </w:rPr>
              <w:t xml:space="preserve">,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highlight w:val="white"/>
              </w:rPr>
              <w:t>передбачених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highlight w:val="white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highlight w:val="white"/>
              </w:rPr>
              <w:t>кримінальним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highlight w:val="white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highlight w:val="white"/>
              </w:rPr>
              <w:t>процесуальним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highlight w:val="white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highlight w:val="white"/>
              </w:rPr>
              <w:t>законодавством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highlight w:val="white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highlight w:val="white"/>
              </w:rPr>
              <w:t>України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highlight w:val="white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highlight w:val="white"/>
              </w:rPr>
              <w:t>щодо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highlight w:val="white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highlight w:val="white"/>
              </w:rPr>
              <w:t>керівника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highlight w:val="white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highlight w:val="white"/>
              </w:rPr>
              <w:t>учасника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highlight w:val="white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highlight w:val="white"/>
              </w:rPr>
              <w:t>процедури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highlight w:val="white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highlight w:val="white"/>
              </w:rPr>
              <w:t>закупівлі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highlight w:val="white"/>
              </w:rPr>
              <w:t>. </w:t>
            </w:r>
          </w:p>
          <w:p w14:paraId="5C4D1456" w14:textId="77777777" w:rsidR="004A17CC" w:rsidRDefault="004A17CC" w:rsidP="004A17CC">
            <w:pPr>
              <w:ind w:right="140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highlight w:val="white"/>
              </w:rPr>
            </w:pPr>
          </w:p>
          <w:p w14:paraId="1412055B" w14:textId="77777777" w:rsidR="004A17CC" w:rsidRDefault="004A17CC" w:rsidP="004A17CC">
            <w:pPr>
              <w:ind w:right="140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highlight w:val="white"/>
              </w:rPr>
              <w:t xml:space="preserve">Документ повинен бути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highlight w:val="white"/>
              </w:rPr>
              <w:t>виданий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highlight w:val="white"/>
              </w:rPr>
              <w:t xml:space="preserve"> </w:t>
            </w:r>
            <w:proofErr w:type="gramStart"/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highlight w:val="white"/>
              </w:rPr>
              <w:t xml:space="preserve">/ 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highlight w:val="white"/>
              </w:rPr>
              <w:t>сформований</w:t>
            </w:r>
            <w:proofErr w:type="spellEnd"/>
            <w:proofErr w:type="gramEnd"/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highlight w:val="white"/>
              </w:rPr>
              <w:t xml:space="preserve"> /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highlight w:val="white"/>
              </w:rPr>
              <w:t>отриманий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highlight w:val="white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white"/>
              </w:rPr>
              <w:t>у</w:t>
            </w: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highlight w:val="white"/>
              </w:rPr>
              <w:t xml:space="preserve"> поточному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highlight w:val="white"/>
              </w:rPr>
              <w:t>році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highlight w:val="white"/>
              </w:rPr>
              <w:t>. </w:t>
            </w:r>
          </w:p>
        </w:tc>
      </w:tr>
      <w:tr w:rsidR="004A17CC" w14:paraId="5ADD471D" w14:textId="77777777" w:rsidTr="0091338C">
        <w:tc>
          <w:tcPr>
            <w:tcW w:w="720" w:type="dxa"/>
          </w:tcPr>
          <w:p w14:paraId="281C7B22" w14:textId="77777777" w:rsidR="004A17CC" w:rsidRDefault="004A17CC" w:rsidP="004A17CC">
            <w:pPr>
              <w:ind w:left="100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white"/>
              </w:rPr>
              <w:t>1.3.</w:t>
            </w:r>
          </w:p>
        </w:tc>
        <w:tc>
          <w:tcPr>
            <w:tcW w:w="4605" w:type="dxa"/>
          </w:tcPr>
          <w:p w14:paraId="67AC8491" w14:textId="77777777" w:rsidR="004A17CC" w:rsidRDefault="004A17CC" w:rsidP="004A17CC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highlight w:val="white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highlight w:val="white"/>
              </w:rPr>
              <w:t>Керівника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highlight w:val="white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highlight w:val="white"/>
              </w:rPr>
              <w:t>учасника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highlight w:val="white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highlight w:val="white"/>
              </w:rPr>
              <w:t>процедури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highlight w:val="white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highlight w:val="white"/>
              </w:rPr>
              <w:t>закупівлі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highlight w:val="white"/>
              </w:rPr>
              <w:t xml:space="preserve">,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highlight w:val="white"/>
              </w:rPr>
              <w:t>фізичну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highlight w:val="white"/>
              </w:rPr>
              <w:t xml:space="preserve"> особу, яка є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highlight w:val="white"/>
              </w:rPr>
              <w:t>учасником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highlight w:val="white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highlight w:val="white"/>
              </w:rPr>
              <w:t>процедури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highlight w:val="white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highlight w:val="white"/>
              </w:rPr>
              <w:t>закупівлі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highlight w:val="white"/>
              </w:rPr>
              <w:t xml:space="preserve">,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highlight w:val="white"/>
              </w:rPr>
              <w:t>було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highlight w:val="white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highlight w:val="white"/>
              </w:rPr>
              <w:t>притягнуто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highlight w:val="white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highlight w:val="white"/>
              </w:rPr>
              <w:t>згідно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highlight w:val="white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highlight w:val="white"/>
              </w:rPr>
              <w:t>із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highlight w:val="white"/>
              </w:rPr>
              <w:t xml:space="preserve"> законом до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highlight w:val="white"/>
              </w:rPr>
              <w:t>відповідальності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highlight w:val="white"/>
              </w:rPr>
              <w:t xml:space="preserve"> за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highlight w:val="white"/>
              </w:rPr>
              <w:t>вчинення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highlight w:val="white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highlight w:val="white"/>
              </w:rPr>
              <w:t>правопорушення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highlight w:val="white"/>
              </w:rPr>
              <w:t xml:space="preserve">,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highlight w:val="white"/>
              </w:rPr>
              <w:t>пов’язаного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highlight w:val="white"/>
              </w:rPr>
              <w:t xml:space="preserve"> з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highlight w:val="white"/>
              </w:rPr>
              <w:t>використанням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highlight w:val="white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highlight w:val="white"/>
              </w:rPr>
              <w:t>дитячої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highlight w:val="white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highlight w:val="white"/>
              </w:rPr>
              <w:t>праці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highlight w:val="white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highlight w:val="white"/>
              </w:rPr>
              <w:t>чи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highlight w:val="white"/>
              </w:rPr>
              <w:t xml:space="preserve"> будь-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highlight w:val="white"/>
              </w:rPr>
              <w:t>якими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highlight w:val="white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highlight w:val="white"/>
              </w:rPr>
              <w:lastRenderedPageBreak/>
              <w:t xml:space="preserve">формами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highlight w:val="white"/>
              </w:rPr>
              <w:t>торгівлі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highlight w:val="white"/>
              </w:rPr>
              <w:t xml:space="preserve"> людьми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highlight w:val="white"/>
              </w:rPr>
              <w:t>(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highlight w:val="white"/>
              </w:rPr>
              <w:t>підпункт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highlight w:val="white"/>
              </w:rPr>
              <w:t xml:space="preserve"> 12 пункту 47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highlight w:val="white"/>
              </w:rPr>
              <w:t>Особливостей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highlight w:val="white"/>
              </w:rPr>
              <w:t>).</w:t>
            </w:r>
          </w:p>
        </w:tc>
        <w:tc>
          <w:tcPr>
            <w:tcW w:w="4800" w:type="dxa"/>
            <w:vMerge/>
          </w:tcPr>
          <w:p w14:paraId="606697E0" w14:textId="77777777" w:rsidR="004A17CC" w:rsidRDefault="004A17CC" w:rsidP="004A17C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highlight w:val="white"/>
              </w:rPr>
            </w:pPr>
          </w:p>
        </w:tc>
      </w:tr>
      <w:tr w:rsidR="004A17CC" w14:paraId="2BBD3FBF" w14:textId="77777777" w:rsidTr="0091338C">
        <w:tc>
          <w:tcPr>
            <w:tcW w:w="10125" w:type="dxa"/>
            <w:gridSpan w:val="3"/>
          </w:tcPr>
          <w:p w14:paraId="75FDFC19" w14:textId="77777777" w:rsidR="004A17CC" w:rsidRDefault="004A17CC" w:rsidP="004A17CC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 w:after="120" w:line="240" w:lineRule="auto"/>
              <w:ind w:right="140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highlight w:val="white"/>
              </w:rPr>
            </w:pPr>
            <w:bookmarkStart w:id="0" w:name="_heading=h.gjdgxs" w:colFirst="0" w:colLast="0"/>
            <w:bookmarkEnd w:id="0"/>
            <w:proofErr w:type="spellStart"/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Документи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 xml:space="preserve">,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які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надаються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 xml:space="preserve"> ПЕРЕМОЖЦЕМ (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i/>
                <w:color w:val="000000"/>
                <w:sz w:val="20"/>
                <w:szCs w:val="20"/>
              </w:rPr>
              <w:t>фізичною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i/>
                <w:color w:val="000000"/>
                <w:sz w:val="20"/>
                <w:szCs w:val="20"/>
              </w:rPr>
              <w:t xml:space="preserve"> особою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i/>
                <w:color w:val="000000"/>
                <w:sz w:val="20"/>
                <w:szCs w:val="20"/>
              </w:rPr>
              <w:t>чи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i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i/>
                <w:color w:val="000000"/>
                <w:sz w:val="20"/>
                <w:szCs w:val="20"/>
              </w:rPr>
              <w:t>фізичною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i/>
                <w:color w:val="000000"/>
                <w:sz w:val="20"/>
                <w:szCs w:val="20"/>
              </w:rPr>
              <w:t xml:space="preserve"> особою —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i/>
                <w:color w:val="000000"/>
                <w:sz w:val="20"/>
                <w:szCs w:val="20"/>
              </w:rPr>
              <w:t>підприємцем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i/>
                <w:color w:val="000000"/>
                <w:sz w:val="20"/>
                <w:szCs w:val="20"/>
              </w:rPr>
              <w:t>):</w:t>
            </w:r>
          </w:p>
        </w:tc>
      </w:tr>
      <w:tr w:rsidR="004A17CC" w14:paraId="60694F0A" w14:textId="77777777" w:rsidTr="004A17CC">
        <w:tc>
          <w:tcPr>
            <w:tcW w:w="720" w:type="dxa"/>
            <w:vAlign w:val="center"/>
          </w:tcPr>
          <w:p w14:paraId="1643552F" w14:textId="77777777" w:rsidR="004A17CC" w:rsidRPr="004A17CC" w:rsidRDefault="004A17CC" w:rsidP="004A17CC">
            <w:pPr>
              <w:ind w:left="100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uk-UA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uk-UA"/>
              </w:rPr>
              <w:t>2.1.</w:t>
            </w:r>
          </w:p>
        </w:tc>
        <w:tc>
          <w:tcPr>
            <w:tcW w:w="4605" w:type="dxa"/>
          </w:tcPr>
          <w:p w14:paraId="3027BAE6" w14:textId="77777777" w:rsidR="004A17CC" w:rsidRPr="004A17CC" w:rsidRDefault="004A17CC" w:rsidP="004A17C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  <w:lang w:val="uk-UA"/>
              </w:rPr>
            </w:pPr>
            <w:r w:rsidRPr="004A17CC"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  <w:lang w:val="uk-UA"/>
              </w:rPr>
              <w:t>Керівника учасника процедури закупівлі, фізичну особу, яка є учасником процедури закупівлі, було притягнуто згідно із законом  до відповідальності за вчинення корупційного правопорушення або правопорушення, пов’язаного з корупцією.</w:t>
            </w:r>
          </w:p>
          <w:p w14:paraId="7F39E6B0" w14:textId="77777777" w:rsidR="004A17CC" w:rsidRDefault="004A17CC" w:rsidP="004A17C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white"/>
              </w:rPr>
              <w:t>(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white"/>
              </w:rPr>
              <w:t>підпункт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white"/>
              </w:rPr>
              <w:t xml:space="preserve"> 3 пункт 47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white"/>
              </w:rPr>
              <w:t>Особливостей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white"/>
              </w:rPr>
              <w:t>)</w:t>
            </w:r>
          </w:p>
        </w:tc>
        <w:tc>
          <w:tcPr>
            <w:tcW w:w="4800" w:type="dxa"/>
          </w:tcPr>
          <w:p w14:paraId="6B53E5AC" w14:textId="77777777" w:rsidR="004A17CC" w:rsidRDefault="004A17CC" w:rsidP="004A17CC">
            <w:pPr>
              <w:spacing w:after="0" w:line="276" w:lineRule="auto"/>
              <w:ind w:right="140"/>
              <w:jc w:val="both"/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white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white"/>
              </w:rPr>
              <w:t>Перевіряється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white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white"/>
              </w:rPr>
              <w:t>безпосередньо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white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white"/>
              </w:rPr>
              <w:t>замовником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white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white"/>
              </w:rPr>
              <w:t>самостійно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white"/>
              </w:rPr>
              <w:t xml:space="preserve">,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white"/>
              </w:rPr>
              <w:t>крім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white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white"/>
              </w:rPr>
              <w:t>випадків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white"/>
              </w:rPr>
              <w:t xml:space="preserve">, коли доступ до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white"/>
              </w:rPr>
              <w:t>такої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white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white"/>
              </w:rPr>
              <w:t>інформації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white"/>
              </w:rPr>
              <w:t xml:space="preserve"> є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white"/>
              </w:rPr>
              <w:t>обмеженим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white"/>
              </w:rPr>
              <w:t>*.</w:t>
            </w:r>
          </w:p>
          <w:p w14:paraId="0C9EDB84" w14:textId="77777777" w:rsidR="004A17CC" w:rsidRDefault="004A17CC" w:rsidP="004A17CC">
            <w:pPr>
              <w:spacing w:after="0" w:line="276" w:lineRule="auto"/>
              <w:ind w:right="140"/>
              <w:jc w:val="both"/>
              <w:rPr>
                <w:rFonts w:ascii="Times New Roman" w:eastAsia="Times New Roman" w:hAnsi="Times New Roman" w:cs="Times New Roman"/>
                <w:i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i/>
                <w:sz w:val="20"/>
                <w:szCs w:val="20"/>
                <w:highlight w:val="white"/>
              </w:rPr>
              <w:t xml:space="preserve">*З 04.09.2023 р.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sz w:val="20"/>
                <w:szCs w:val="20"/>
                <w:highlight w:val="white"/>
              </w:rPr>
              <w:t>Національне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sz w:val="20"/>
                <w:szCs w:val="20"/>
                <w:highlight w:val="white"/>
              </w:rPr>
              <w:t xml:space="preserve"> агентство з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sz w:val="20"/>
                <w:szCs w:val="20"/>
                <w:highlight w:val="white"/>
              </w:rPr>
              <w:t>питань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sz w:val="20"/>
                <w:szCs w:val="20"/>
                <w:highlight w:val="white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sz w:val="20"/>
                <w:szCs w:val="20"/>
                <w:highlight w:val="white"/>
              </w:rPr>
              <w:t>запобігання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sz w:val="20"/>
                <w:szCs w:val="20"/>
                <w:highlight w:val="white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sz w:val="20"/>
                <w:szCs w:val="20"/>
                <w:highlight w:val="white"/>
              </w:rPr>
              <w:t>корупції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sz w:val="20"/>
                <w:szCs w:val="20"/>
                <w:highlight w:val="white"/>
              </w:rPr>
              <w:t xml:space="preserve"> (НАЗК)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sz w:val="20"/>
                <w:szCs w:val="20"/>
                <w:highlight w:val="white"/>
              </w:rPr>
              <w:t>відкрило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sz w:val="20"/>
                <w:szCs w:val="20"/>
                <w:highlight w:val="white"/>
              </w:rPr>
              <w:t xml:space="preserve"> доступ до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sz w:val="20"/>
                <w:szCs w:val="20"/>
                <w:highlight w:val="white"/>
              </w:rPr>
              <w:t>Реєстру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sz w:val="20"/>
                <w:szCs w:val="20"/>
                <w:highlight w:val="white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sz w:val="20"/>
                <w:szCs w:val="20"/>
                <w:highlight w:val="white"/>
              </w:rPr>
              <w:t>осіб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sz w:val="20"/>
                <w:szCs w:val="20"/>
                <w:highlight w:val="white"/>
              </w:rPr>
              <w:t xml:space="preserve">,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sz w:val="20"/>
                <w:szCs w:val="20"/>
                <w:highlight w:val="white"/>
              </w:rPr>
              <w:t>які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sz w:val="20"/>
                <w:szCs w:val="20"/>
                <w:highlight w:val="white"/>
              </w:rPr>
              <w:t xml:space="preserve"> вчинили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sz w:val="20"/>
                <w:szCs w:val="20"/>
                <w:highlight w:val="white"/>
              </w:rPr>
              <w:t>корупційні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sz w:val="20"/>
                <w:szCs w:val="20"/>
                <w:highlight w:val="white"/>
              </w:rPr>
              <w:t xml:space="preserve"> та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sz w:val="20"/>
                <w:szCs w:val="20"/>
                <w:highlight w:val="white"/>
              </w:rPr>
              <w:t>пов’язані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sz w:val="20"/>
                <w:szCs w:val="20"/>
                <w:highlight w:val="white"/>
              </w:rPr>
              <w:t xml:space="preserve"> з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sz w:val="20"/>
                <w:szCs w:val="20"/>
                <w:highlight w:val="white"/>
              </w:rPr>
              <w:t>корупцією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sz w:val="20"/>
                <w:szCs w:val="20"/>
                <w:highlight w:val="white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sz w:val="20"/>
                <w:szCs w:val="20"/>
                <w:highlight w:val="white"/>
              </w:rPr>
              <w:t>правопорушення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sz w:val="20"/>
                <w:szCs w:val="20"/>
                <w:highlight w:val="white"/>
              </w:rPr>
              <w:t xml:space="preserve">, з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sz w:val="20"/>
                <w:szCs w:val="20"/>
                <w:highlight w:val="white"/>
              </w:rPr>
              <w:t>урахуванням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sz w:val="20"/>
                <w:szCs w:val="20"/>
                <w:highlight w:val="white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sz w:val="20"/>
                <w:szCs w:val="20"/>
                <w:highlight w:val="white"/>
              </w:rPr>
              <w:t>безпекових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sz w:val="20"/>
                <w:szCs w:val="20"/>
                <w:highlight w:val="white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sz w:val="20"/>
                <w:szCs w:val="20"/>
                <w:highlight w:val="white"/>
              </w:rPr>
              <w:t>аспектів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sz w:val="20"/>
                <w:szCs w:val="20"/>
                <w:highlight w:val="white"/>
              </w:rPr>
              <w:t xml:space="preserve">.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sz w:val="20"/>
                <w:szCs w:val="20"/>
                <w:highlight w:val="white"/>
              </w:rPr>
              <w:t>Проте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sz w:val="20"/>
                <w:szCs w:val="20"/>
                <w:highlight w:val="white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sz w:val="20"/>
                <w:szCs w:val="20"/>
                <w:highlight w:val="white"/>
              </w:rPr>
              <w:t>згідно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sz w:val="20"/>
                <w:szCs w:val="20"/>
                <w:highlight w:val="white"/>
              </w:rPr>
              <w:t xml:space="preserve"> з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sz w:val="20"/>
                <w:szCs w:val="20"/>
                <w:highlight w:val="white"/>
              </w:rPr>
              <w:t>постановою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sz w:val="20"/>
                <w:szCs w:val="20"/>
                <w:highlight w:val="white"/>
              </w:rPr>
              <w:t xml:space="preserve"> КМУ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sz w:val="20"/>
                <w:szCs w:val="20"/>
                <w:highlight w:val="white"/>
              </w:rPr>
              <w:t>від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sz w:val="20"/>
                <w:szCs w:val="20"/>
                <w:highlight w:val="white"/>
              </w:rPr>
              <w:t xml:space="preserve"> 12.03.2022 р. № 263, яка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sz w:val="20"/>
                <w:szCs w:val="20"/>
                <w:highlight w:val="white"/>
              </w:rPr>
              <w:t>застосовується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sz w:val="20"/>
                <w:szCs w:val="20"/>
                <w:highlight w:val="white"/>
              </w:rPr>
              <w:t xml:space="preserve"> до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sz w:val="20"/>
                <w:szCs w:val="20"/>
                <w:highlight w:val="white"/>
              </w:rPr>
              <w:t>припинення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sz w:val="20"/>
                <w:szCs w:val="20"/>
                <w:highlight w:val="white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sz w:val="20"/>
                <w:szCs w:val="20"/>
                <w:highlight w:val="white"/>
              </w:rPr>
              <w:t>чи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sz w:val="20"/>
                <w:szCs w:val="20"/>
                <w:highlight w:val="white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sz w:val="20"/>
                <w:szCs w:val="20"/>
                <w:highlight w:val="white"/>
              </w:rPr>
              <w:t>скасування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sz w:val="20"/>
                <w:szCs w:val="20"/>
                <w:highlight w:val="white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sz w:val="20"/>
                <w:szCs w:val="20"/>
                <w:highlight w:val="white"/>
              </w:rPr>
              <w:t>воєнного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sz w:val="20"/>
                <w:szCs w:val="20"/>
                <w:highlight w:val="white"/>
              </w:rPr>
              <w:t xml:space="preserve"> стану,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sz w:val="20"/>
                <w:szCs w:val="20"/>
                <w:highlight w:val="white"/>
              </w:rPr>
              <w:t>інформаційні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sz w:val="20"/>
                <w:szCs w:val="20"/>
                <w:highlight w:val="white"/>
              </w:rPr>
              <w:t xml:space="preserve">,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sz w:val="20"/>
                <w:szCs w:val="20"/>
                <w:highlight w:val="white"/>
              </w:rPr>
              <w:t>інформаційно-комунікаційні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sz w:val="20"/>
                <w:szCs w:val="20"/>
                <w:highlight w:val="white"/>
              </w:rPr>
              <w:t xml:space="preserve"> та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sz w:val="20"/>
                <w:szCs w:val="20"/>
                <w:highlight w:val="white"/>
              </w:rPr>
              <w:t>електронні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sz w:val="20"/>
                <w:szCs w:val="20"/>
                <w:highlight w:val="white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sz w:val="20"/>
                <w:szCs w:val="20"/>
                <w:highlight w:val="white"/>
              </w:rPr>
              <w:t>комунікаційні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sz w:val="20"/>
                <w:szCs w:val="20"/>
                <w:highlight w:val="white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sz w:val="20"/>
                <w:szCs w:val="20"/>
                <w:highlight w:val="white"/>
              </w:rPr>
              <w:t>системи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sz w:val="20"/>
                <w:szCs w:val="20"/>
                <w:highlight w:val="white"/>
              </w:rPr>
              <w:t xml:space="preserve">,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sz w:val="20"/>
                <w:szCs w:val="20"/>
                <w:highlight w:val="white"/>
              </w:rPr>
              <w:t>публічні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sz w:val="20"/>
                <w:szCs w:val="20"/>
                <w:highlight w:val="white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sz w:val="20"/>
                <w:szCs w:val="20"/>
                <w:highlight w:val="white"/>
              </w:rPr>
              <w:t>електронні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sz w:val="20"/>
                <w:szCs w:val="20"/>
                <w:highlight w:val="white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sz w:val="20"/>
                <w:szCs w:val="20"/>
                <w:highlight w:val="white"/>
              </w:rPr>
              <w:t>реєстри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sz w:val="20"/>
                <w:szCs w:val="20"/>
                <w:highlight w:val="white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sz w:val="20"/>
                <w:szCs w:val="20"/>
                <w:highlight w:val="white"/>
              </w:rPr>
              <w:t>можуть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sz w:val="20"/>
                <w:szCs w:val="20"/>
                <w:highlight w:val="white"/>
              </w:rPr>
              <w:t xml:space="preserve"> як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sz w:val="20"/>
                <w:szCs w:val="20"/>
                <w:highlight w:val="white"/>
              </w:rPr>
              <w:t>зупиняти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sz w:val="20"/>
                <w:szCs w:val="20"/>
                <w:highlight w:val="white"/>
              </w:rPr>
              <w:t xml:space="preserve">,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sz w:val="20"/>
                <w:szCs w:val="20"/>
                <w:highlight w:val="white"/>
              </w:rPr>
              <w:t>обмежувати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highlight w:val="white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i/>
                <w:sz w:val="20"/>
                <w:szCs w:val="20"/>
                <w:highlight w:val="white"/>
              </w:rPr>
              <w:t xml:space="preserve">свою роботу, так і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sz w:val="20"/>
                <w:szCs w:val="20"/>
                <w:highlight w:val="white"/>
              </w:rPr>
              <w:t>відкриватись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sz w:val="20"/>
                <w:szCs w:val="20"/>
                <w:highlight w:val="white"/>
              </w:rPr>
              <w:t xml:space="preserve">,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sz w:val="20"/>
                <w:szCs w:val="20"/>
                <w:highlight w:val="white"/>
              </w:rPr>
              <w:t>поновлюватись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sz w:val="20"/>
                <w:szCs w:val="20"/>
                <w:highlight w:val="white"/>
              </w:rPr>
              <w:t xml:space="preserve"> у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sz w:val="20"/>
                <w:szCs w:val="20"/>
                <w:highlight w:val="white"/>
              </w:rPr>
              <w:t>період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sz w:val="20"/>
                <w:szCs w:val="20"/>
                <w:highlight w:val="white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sz w:val="20"/>
                <w:szCs w:val="20"/>
                <w:highlight w:val="white"/>
              </w:rPr>
              <w:t>воєнного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sz w:val="20"/>
                <w:szCs w:val="20"/>
                <w:highlight w:val="white"/>
              </w:rPr>
              <w:t xml:space="preserve"> стану.</w:t>
            </w:r>
          </w:p>
          <w:p w14:paraId="45581D50" w14:textId="77777777" w:rsidR="004A17CC" w:rsidRDefault="004A17CC" w:rsidP="004A17CC">
            <w:pPr>
              <w:spacing w:after="0" w:line="256" w:lineRule="auto"/>
              <w:ind w:right="140"/>
              <w:jc w:val="both"/>
              <w:rPr>
                <w:rFonts w:ascii="Times New Roman" w:eastAsia="Times New Roman" w:hAnsi="Times New Roman" w:cs="Times New Roman"/>
                <w:i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i/>
                <w:sz w:val="20"/>
                <w:szCs w:val="20"/>
                <w:highlight w:val="white"/>
              </w:rPr>
              <w:t xml:space="preserve">Таким чином у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sz w:val="20"/>
                <w:szCs w:val="20"/>
                <w:highlight w:val="white"/>
              </w:rPr>
              <w:t>разі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sz w:val="20"/>
                <w:szCs w:val="20"/>
                <w:highlight w:val="white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sz w:val="20"/>
                <w:szCs w:val="20"/>
                <w:highlight w:val="white"/>
              </w:rPr>
              <w:t>якщо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sz w:val="20"/>
                <w:szCs w:val="20"/>
                <w:highlight w:val="white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sz w:val="20"/>
                <w:szCs w:val="20"/>
                <w:highlight w:val="white"/>
              </w:rPr>
              <w:t>інформаційні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sz w:val="20"/>
                <w:szCs w:val="20"/>
                <w:highlight w:val="white"/>
              </w:rPr>
              <w:t xml:space="preserve">,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sz w:val="20"/>
                <w:szCs w:val="20"/>
                <w:highlight w:val="white"/>
              </w:rPr>
              <w:t>інформаційно-комунікаційні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sz w:val="20"/>
                <w:szCs w:val="20"/>
                <w:highlight w:val="white"/>
              </w:rPr>
              <w:t xml:space="preserve"> та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sz w:val="20"/>
                <w:szCs w:val="20"/>
                <w:highlight w:val="white"/>
              </w:rPr>
              <w:t>електронні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sz w:val="20"/>
                <w:szCs w:val="20"/>
                <w:highlight w:val="white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sz w:val="20"/>
                <w:szCs w:val="20"/>
                <w:highlight w:val="white"/>
              </w:rPr>
              <w:t>комунікаційні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sz w:val="20"/>
                <w:szCs w:val="20"/>
                <w:highlight w:val="white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sz w:val="20"/>
                <w:szCs w:val="20"/>
                <w:highlight w:val="white"/>
              </w:rPr>
              <w:t>системи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sz w:val="20"/>
                <w:szCs w:val="20"/>
                <w:highlight w:val="white"/>
              </w:rPr>
              <w:t xml:space="preserve">,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sz w:val="20"/>
                <w:szCs w:val="20"/>
                <w:highlight w:val="white"/>
              </w:rPr>
              <w:t>публічні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sz w:val="20"/>
                <w:szCs w:val="20"/>
                <w:highlight w:val="white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sz w:val="20"/>
                <w:szCs w:val="20"/>
                <w:highlight w:val="white"/>
              </w:rPr>
              <w:t>електронні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sz w:val="20"/>
                <w:szCs w:val="20"/>
                <w:highlight w:val="white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sz w:val="20"/>
                <w:szCs w:val="20"/>
                <w:highlight w:val="white"/>
              </w:rPr>
              <w:t>реєстри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sz w:val="20"/>
                <w:szCs w:val="20"/>
                <w:highlight w:val="white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sz w:val="20"/>
                <w:szCs w:val="20"/>
                <w:highlight w:val="white"/>
              </w:rPr>
              <w:t>будуть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sz w:val="20"/>
                <w:szCs w:val="20"/>
                <w:highlight w:val="white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sz w:val="20"/>
                <w:szCs w:val="20"/>
                <w:highlight w:val="white"/>
              </w:rPr>
              <w:t>зупинені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sz w:val="20"/>
                <w:szCs w:val="20"/>
                <w:highlight w:val="white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sz w:val="20"/>
                <w:szCs w:val="20"/>
                <w:highlight w:val="white"/>
              </w:rPr>
              <w:t>або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sz w:val="20"/>
                <w:szCs w:val="20"/>
                <w:highlight w:val="white"/>
              </w:rPr>
              <w:t xml:space="preserve">,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sz w:val="20"/>
                <w:szCs w:val="20"/>
                <w:highlight w:val="white"/>
              </w:rPr>
              <w:t>обмежать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sz w:val="20"/>
                <w:szCs w:val="20"/>
                <w:highlight w:val="white"/>
              </w:rPr>
              <w:t xml:space="preserve"> свою роботу, то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sz w:val="20"/>
                <w:szCs w:val="20"/>
                <w:highlight w:val="white"/>
              </w:rPr>
              <w:t>інформаційна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sz w:val="20"/>
                <w:szCs w:val="20"/>
                <w:highlight w:val="white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sz w:val="20"/>
                <w:szCs w:val="20"/>
                <w:highlight w:val="white"/>
              </w:rPr>
              <w:t>довідка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sz w:val="20"/>
                <w:szCs w:val="20"/>
                <w:highlight w:val="white"/>
              </w:rPr>
              <w:t xml:space="preserve"> з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sz w:val="20"/>
                <w:szCs w:val="20"/>
                <w:highlight w:val="white"/>
              </w:rPr>
              <w:t>Єдиного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sz w:val="20"/>
                <w:szCs w:val="20"/>
                <w:highlight w:val="white"/>
              </w:rPr>
              <w:t xml:space="preserve"> державного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sz w:val="20"/>
                <w:szCs w:val="20"/>
                <w:highlight w:val="white"/>
              </w:rPr>
              <w:t>реєстру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sz w:val="20"/>
                <w:szCs w:val="20"/>
                <w:highlight w:val="white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sz w:val="20"/>
                <w:szCs w:val="20"/>
                <w:highlight w:val="white"/>
              </w:rPr>
              <w:t>осіб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sz w:val="20"/>
                <w:szCs w:val="20"/>
                <w:highlight w:val="white"/>
              </w:rPr>
              <w:t xml:space="preserve">,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sz w:val="20"/>
                <w:szCs w:val="20"/>
                <w:highlight w:val="white"/>
              </w:rPr>
              <w:t>які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sz w:val="20"/>
                <w:szCs w:val="20"/>
                <w:highlight w:val="white"/>
              </w:rPr>
              <w:t xml:space="preserve"> вчинили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sz w:val="20"/>
                <w:szCs w:val="20"/>
                <w:highlight w:val="white"/>
              </w:rPr>
              <w:t>корупційні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sz w:val="20"/>
                <w:szCs w:val="20"/>
                <w:highlight w:val="white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sz w:val="20"/>
                <w:szCs w:val="20"/>
                <w:highlight w:val="white"/>
              </w:rPr>
              <w:t>або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sz w:val="20"/>
                <w:szCs w:val="20"/>
                <w:highlight w:val="white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sz w:val="20"/>
                <w:szCs w:val="20"/>
                <w:highlight w:val="white"/>
              </w:rPr>
              <w:t>пов’язані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sz w:val="20"/>
                <w:szCs w:val="20"/>
                <w:highlight w:val="white"/>
              </w:rPr>
              <w:t xml:space="preserve"> з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sz w:val="20"/>
                <w:szCs w:val="20"/>
                <w:highlight w:val="white"/>
              </w:rPr>
              <w:t>корупцією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sz w:val="20"/>
                <w:szCs w:val="20"/>
                <w:highlight w:val="white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sz w:val="20"/>
                <w:szCs w:val="20"/>
                <w:highlight w:val="white"/>
              </w:rPr>
              <w:t>правопорушення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sz w:val="20"/>
                <w:szCs w:val="20"/>
                <w:highlight w:val="white"/>
              </w:rPr>
              <w:t xml:space="preserve">,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sz w:val="20"/>
                <w:szCs w:val="20"/>
                <w:highlight w:val="white"/>
              </w:rPr>
              <w:t>згідно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sz w:val="20"/>
                <w:szCs w:val="20"/>
                <w:highlight w:val="white"/>
              </w:rPr>
              <w:t xml:space="preserve"> з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sz w:val="20"/>
                <w:szCs w:val="20"/>
                <w:highlight w:val="white"/>
              </w:rPr>
              <w:t>якою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sz w:val="20"/>
                <w:szCs w:val="20"/>
                <w:highlight w:val="white"/>
              </w:rPr>
              <w:t xml:space="preserve"> не буде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sz w:val="20"/>
                <w:szCs w:val="20"/>
                <w:highlight w:val="white"/>
              </w:rPr>
              <w:t>знайдено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sz w:val="20"/>
                <w:szCs w:val="20"/>
                <w:highlight w:val="white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sz w:val="20"/>
                <w:szCs w:val="20"/>
                <w:highlight w:val="white"/>
              </w:rPr>
              <w:t>інформації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sz w:val="20"/>
                <w:szCs w:val="20"/>
                <w:highlight w:val="white"/>
              </w:rPr>
              <w:t xml:space="preserve"> про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sz w:val="20"/>
                <w:szCs w:val="20"/>
                <w:highlight w:val="white"/>
              </w:rPr>
              <w:t>корупційні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sz w:val="20"/>
                <w:szCs w:val="20"/>
                <w:highlight w:val="white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sz w:val="20"/>
                <w:szCs w:val="20"/>
                <w:highlight w:val="white"/>
              </w:rPr>
              <w:t>або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sz w:val="20"/>
                <w:szCs w:val="20"/>
                <w:highlight w:val="white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sz w:val="20"/>
                <w:szCs w:val="20"/>
                <w:highlight w:val="white"/>
              </w:rPr>
              <w:t>пов'язані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sz w:val="20"/>
                <w:szCs w:val="20"/>
                <w:highlight w:val="white"/>
              </w:rPr>
              <w:t xml:space="preserve"> з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sz w:val="20"/>
                <w:szCs w:val="20"/>
                <w:highlight w:val="white"/>
              </w:rPr>
              <w:t>корупцією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sz w:val="20"/>
                <w:szCs w:val="20"/>
                <w:highlight w:val="white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sz w:val="20"/>
                <w:szCs w:val="20"/>
                <w:highlight w:val="white"/>
              </w:rPr>
              <w:t>правопорушення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sz w:val="20"/>
                <w:szCs w:val="20"/>
                <w:highlight w:val="white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highlight w:val="white"/>
              </w:rPr>
              <w:t>керівника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highlight w:val="white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highlight w:val="white"/>
              </w:rPr>
              <w:t>учасника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sz w:val="20"/>
                <w:szCs w:val="20"/>
                <w:highlight w:val="white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sz w:val="20"/>
                <w:szCs w:val="20"/>
                <w:highlight w:val="white"/>
              </w:rPr>
              <w:t>процедури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sz w:val="20"/>
                <w:szCs w:val="20"/>
                <w:highlight w:val="white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sz w:val="20"/>
                <w:szCs w:val="20"/>
                <w:highlight w:val="white"/>
              </w:rPr>
              <w:t>закупівлі,на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sz w:val="20"/>
                <w:szCs w:val="20"/>
                <w:highlight w:val="white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sz w:val="20"/>
                <w:szCs w:val="20"/>
                <w:highlight w:val="white"/>
              </w:rPr>
              <w:t>виконання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sz w:val="20"/>
                <w:szCs w:val="20"/>
                <w:highlight w:val="white"/>
              </w:rPr>
              <w:t xml:space="preserve"> абзацу 15 пункту 47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sz w:val="20"/>
                <w:szCs w:val="20"/>
                <w:highlight w:val="white"/>
              </w:rPr>
              <w:t>Особливостей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sz w:val="20"/>
                <w:szCs w:val="20"/>
                <w:highlight w:val="white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sz w:val="20"/>
                <w:szCs w:val="20"/>
                <w:highlight w:val="white"/>
              </w:rPr>
              <w:t>надається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sz w:val="20"/>
                <w:szCs w:val="20"/>
                <w:highlight w:val="white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sz w:val="20"/>
                <w:szCs w:val="20"/>
                <w:highlight w:val="white"/>
              </w:rPr>
              <w:t>переможцем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sz w:val="20"/>
                <w:szCs w:val="20"/>
                <w:highlight w:val="white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sz w:val="20"/>
                <w:szCs w:val="20"/>
                <w:highlight w:val="white"/>
              </w:rPr>
              <w:t>торгів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sz w:val="20"/>
                <w:szCs w:val="20"/>
                <w:highlight w:val="white"/>
              </w:rPr>
              <w:t>.</w:t>
            </w:r>
          </w:p>
        </w:tc>
      </w:tr>
      <w:tr w:rsidR="004A17CC" w14:paraId="5C159CF1" w14:textId="77777777" w:rsidTr="004A17CC">
        <w:tc>
          <w:tcPr>
            <w:tcW w:w="720" w:type="dxa"/>
            <w:vAlign w:val="center"/>
          </w:tcPr>
          <w:p w14:paraId="430A2FB0" w14:textId="77777777" w:rsidR="004A17CC" w:rsidRDefault="004A17CC" w:rsidP="004A17CC">
            <w:pPr>
              <w:ind w:left="10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2.2.</w:t>
            </w:r>
          </w:p>
        </w:tc>
        <w:tc>
          <w:tcPr>
            <w:tcW w:w="4605" w:type="dxa"/>
          </w:tcPr>
          <w:p w14:paraId="78D452D8" w14:textId="77777777" w:rsidR="004A17CC" w:rsidRDefault="004A17CC" w:rsidP="004A17C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highlight w:val="white"/>
              </w:rPr>
              <w:t>Фізична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highlight w:val="white"/>
              </w:rPr>
              <w:t xml:space="preserve"> особа, яка є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highlight w:val="white"/>
              </w:rPr>
              <w:t>учасником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highlight w:val="white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highlight w:val="white"/>
              </w:rPr>
              <w:t>процедури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highlight w:val="white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highlight w:val="white"/>
              </w:rPr>
              <w:t>закупівлі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highlight w:val="white"/>
              </w:rPr>
              <w:t xml:space="preserve">,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highlight w:val="white"/>
              </w:rPr>
              <w:t>була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highlight w:val="white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highlight w:val="white"/>
              </w:rPr>
              <w:t>засуджена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highlight w:val="white"/>
              </w:rPr>
              <w:t xml:space="preserve"> за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highlight w:val="white"/>
              </w:rPr>
              <w:t>кримінальне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highlight w:val="white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highlight w:val="white"/>
              </w:rPr>
              <w:t>правопорушення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highlight w:val="white"/>
              </w:rPr>
              <w:t xml:space="preserve">,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highlight w:val="white"/>
              </w:rPr>
              <w:t>вчинене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highlight w:val="white"/>
              </w:rPr>
              <w:t xml:space="preserve"> з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highlight w:val="white"/>
              </w:rPr>
              <w:t>корисливих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highlight w:val="white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highlight w:val="white"/>
              </w:rPr>
              <w:t>мотивів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highlight w:val="white"/>
              </w:rPr>
              <w:t xml:space="preserve"> (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highlight w:val="white"/>
              </w:rPr>
              <w:t>зокрема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highlight w:val="white"/>
              </w:rPr>
              <w:t xml:space="preserve">,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highlight w:val="white"/>
              </w:rPr>
              <w:t>пов’язане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highlight w:val="white"/>
              </w:rPr>
              <w:t xml:space="preserve"> з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highlight w:val="white"/>
              </w:rPr>
              <w:t>хабарництвом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highlight w:val="white"/>
              </w:rPr>
              <w:t xml:space="preserve"> та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highlight w:val="white"/>
              </w:rPr>
              <w:t>відмиванням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highlight w:val="white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highlight w:val="white"/>
              </w:rPr>
              <w:t>коштів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highlight w:val="white"/>
              </w:rPr>
              <w:t xml:space="preserve">),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highlight w:val="white"/>
              </w:rPr>
              <w:t>судимість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highlight w:val="white"/>
              </w:rPr>
              <w:t xml:space="preserve"> з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highlight w:val="white"/>
              </w:rPr>
              <w:t>якої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highlight w:val="white"/>
              </w:rPr>
              <w:t xml:space="preserve"> не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highlight w:val="white"/>
              </w:rPr>
              <w:t>знято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highlight w:val="white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highlight w:val="white"/>
              </w:rPr>
              <w:t>або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highlight w:val="white"/>
              </w:rPr>
              <w:t xml:space="preserve"> не погашено в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highlight w:val="white"/>
              </w:rPr>
              <w:t>установленому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highlight w:val="white"/>
              </w:rPr>
              <w:t xml:space="preserve"> законом порядку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highlight w:val="white"/>
              </w:rPr>
              <w:t>(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highlight w:val="white"/>
              </w:rPr>
              <w:t>підпункт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highlight w:val="white"/>
              </w:rPr>
              <w:t xml:space="preserve"> 5 пункту 47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highlight w:val="white"/>
              </w:rPr>
              <w:t>Особливостей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highlight w:val="white"/>
              </w:rPr>
              <w:t>).</w:t>
            </w:r>
          </w:p>
        </w:tc>
        <w:tc>
          <w:tcPr>
            <w:tcW w:w="4800" w:type="dxa"/>
            <w:vMerge w:val="restart"/>
          </w:tcPr>
          <w:p w14:paraId="047B157E" w14:textId="77777777" w:rsidR="004A17CC" w:rsidRDefault="004A17CC" w:rsidP="004A17C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Повний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витяг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 xml:space="preserve"> з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інформаційно-аналітичної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системи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 xml:space="preserve"> «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Облік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відомостей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 xml:space="preserve"> про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притягнення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 xml:space="preserve"> особи до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кримінальної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відповідальності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 xml:space="preserve"> та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наявності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судимості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 xml:space="preserve">»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сформований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 xml:space="preserve"> у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паперовій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або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електронній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формі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 xml:space="preserve">,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що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містить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інформацію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 xml:space="preserve"> про 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відсутність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судимості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або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обмежень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 xml:space="preserve">,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передбачених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кримінальним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процесуальним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законодавством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України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щодо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фізичної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 xml:space="preserve"> особи, яка є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учасником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процедури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закупівлі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. </w:t>
            </w:r>
          </w:p>
          <w:p w14:paraId="00F44158" w14:textId="77777777" w:rsidR="004A17CC" w:rsidRDefault="004A17CC" w:rsidP="004A17C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357B73C8" w14:textId="77777777" w:rsidR="004A17CC" w:rsidRDefault="004A17CC" w:rsidP="004A17CC">
            <w:pPr>
              <w:ind w:right="140"/>
              <w:jc w:val="both"/>
              <w:rPr>
                <w:rFonts w:ascii="Times New Roman" w:eastAsia="Times New Roman" w:hAnsi="Times New Roman" w:cs="Times New Roman"/>
                <w:b/>
                <w:strike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highlight w:val="white"/>
              </w:rPr>
              <w:t xml:space="preserve">Документ повинен бути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highlight w:val="white"/>
              </w:rPr>
              <w:t>виданий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highlight w:val="white"/>
              </w:rPr>
              <w:t xml:space="preserve"> /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highlight w:val="white"/>
              </w:rPr>
              <w:t>сформований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highlight w:val="white"/>
              </w:rPr>
              <w:t xml:space="preserve"> /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highlight w:val="white"/>
              </w:rPr>
              <w:t>отриманий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highlight w:val="white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white"/>
              </w:rPr>
              <w:t>у</w:t>
            </w: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highlight w:val="white"/>
              </w:rPr>
              <w:t xml:space="preserve"> поточному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highlight w:val="white"/>
              </w:rPr>
              <w:t>році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highlight w:val="white"/>
              </w:rPr>
              <w:t>.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</w:tr>
      <w:tr w:rsidR="004A17CC" w14:paraId="7F9B5A60" w14:textId="77777777" w:rsidTr="004A17CC">
        <w:tc>
          <w:tcPr>
            <w:tcW w:w="720" w:type="dxa"/>
            <w:vAlign w:val="center"/>
          </w:tcPr>
          <w:p w14:paraId="4432B453" w14:textId="77777777" w:rsidR="004A17CC" w:rsidRDefault="004A17CC" w:rsidP="004A17CC">
            <w:pPr>
              <w:ind w:left="10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2.3.</w:t>
            </w:r>
          </w:p>
        </w:tc>
        <w:tc>
          <w:tcPr>
            <w:tcW w:w="4605" w:type="dxa"/>
          </w:tcPr>
          <w:p w14:paraId="683CA7C5" w14:textId="77777777" w:rsidR="004A17CC" w:rsidRDefault="004A17CC" w:rsidP="004A17C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highlight w:val="white"/>
              </w:rPr>
              <w:t>Керівника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highlight w:val="white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highlight w:val="white"/>
              </w:rPr>
              <w:t>учасника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highlight w:val="white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highlight w:val="white"/>
              </w:rPr>
              <w:t>процедури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highlight w:val="white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highlight w:val="white"/>
              </w:rPr>
              <w:t>закупівлі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highlight w:val="white"/>
              </w:rPr>
              <w:t xml:space="preserve">,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highlight w:val="white"/>
              </w:rPr>
              <w:t>фізичну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highlight w:val="white"/>
              </w:rPr>
              <w:t xml:space="preserve"> особу, яка є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highlight w:val="white"/>
              </w:rPr>
              <w:t>учасником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highlight w:val="white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highlight w:val="white"/>
              </w:rPr>
              <w:t>процедури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highlight w:val="white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highlight w:val="white"/>
              </w:rPr>
              <w:t>закупівлі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highlight w:val="white"/>
              </w:rPr>
              <w:t xml:space="preserve">,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highlight w:val="white"/>
              </w:rPr>
              <w:t>було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highlight w:val="white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highlight w:val="white"/>
              </w:rPr>
              <w:t>притягнуто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highlight w:val="white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highlight w:val="white"/>
              </w:rPr>
              <w:t>згідно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highlight w:val="white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highlight w:val="white"/>
              </w:rPr>
              <w:t>із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highlight w:val="white"/>
              </w:rPr>
              <w:t xml:space="preserve"> законом до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highlight w:val="white"/>
              </w:rPr>
              <w:t>відповідальності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highlight w:val="white"/>
              </w:rPr>
              <w:t xml:space="preserve"> за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highlight w:val="white"/>
              </w:rPr>
              <w:t>вчинення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highlight w:val="white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highlight w:val="white"/>
              </w:rPr>
              <w:t>правопорушення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highlight w:val="white"/>
              </w:rPr>
              <w:t xml:space="preserve">,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highlight w:val="white"/>
              </w:rPr>
              <w:t>пов’язаного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highlight w:val="white"/>
              </w:rPr>
              <w:t xml:space="preserve"> з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highlight w:val="white"/>
              </w:rPr>
              <w:t>використанням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highlight w:val="white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highlight w:val="white"/>
              </w:rPr>
              <w:t>дитячої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highlight w:val="white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highlight w:val="white"/>
              </w:rPr>
              <w:t>праці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highlight w:val="white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highlight w:val="white"/>
              </w:rPr>
              <w:t>чи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highlight w:val="white"/>
              </w:rPr>
              <w:t xml:space="preserve"> будь-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highlight w:val="white"/>
              </w:rPr>
              <w:t>якими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highlight w:val="white"/>
              </w:rPr>
              <w:t xml:space="preserve"> формами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highlight w:val="white"/>
              </w:rPr>
              <w:t>торгівлі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highlight w:val="white"/>
              </w:rPr>
              <w:t xml:space="preserve"> людьми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highlight w:val="white"/>
              </w:rPr>
              <w:t>(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highlight w:val="white"/>
              </w:rPr>
              <w:t>підпункт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highlight w:val="white"/>
              </w:rPr>
              <w:t xml:space="preserve"> 12 пункту 47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highlight w:val="white"/>
              </w:rPr>
              <w:t>Особливостей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highlight w:val="white"/>
              </w:rPr>
              <w:t>).</w:t>
            </w:r>
          </w:p>
        </w:tc>
        <w:tc>
          <w:tcPr>
            <w:tcW w:w="4800" w:type="dxa"/>
            <w:vMerge/>
          </w:tcPr>
          <w:p w14:paraId="79FD25AD" w14:textId="77777777" w:rsidR="004A17CC" w:rsidRDefault="004A17CC" w:rsidP="004A17C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4A17CC" w14:paraId="0C7F7942" w14:textId="77777777" w:rsidTr="0091338C">
        <w:trPr>
          <w:trHeight w:val="240"/>
        </w:trPr>
        <w:tc>
          <w:tcPr>
            <w:tcW w:w="10125" w:type="dxa"/>
            <w:gridSpan w:val="3"/>
          </w:tcPr>
          <w:p w14:paraId="05E710E3" w14:textId="77777777" w:rsidR="004A17CC" w:rsidRDefault="004A17CC" w:rsidP="004A17CC">
            <w:pPr>
              <w:ind w:left="100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</w:p>
        </w:tc>
      </w:tr>
      <w:tr w:rsidR="004A17CC" w14:paraId="1F9F5D22" w14:textId="77777777" w:rsidTr="0091338C">
        <w:trPr>
          <w:trHeight w:val="240"/>
        </w:trPr>
        <w:tc>
          <w:tcPr>
            <w:tcW w:w="10125" w:type="dxa"/>
            <w:gridSpan w:val="3"/>
            <w:shd w:val="clear" w:color="auto" w:fill="D9D9D9"/>
          </w:tcPr>
          <w:p w14:paraId="115B9393" w14:textId="77777777" w:rsidR="004A17CC" w:rsidRDefault="004A17CC" w:rsidP="004A17CC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shd w:val="clear" w:color="auto" w:fill="D9D9D9"/>
              </w:rPr>
            </w:pPr>
          </w:p>
          <w:p w14:paraId="01392388" w14:textId="77777777" w:rsidR="004A17CC" w:rsidRDefault="004A17CC" w:rsidP="004A17CC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shd w:val="clear" w:color="auto" w:fill="D9D9D9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shd w:val="clear" w:color="auto" w:fill="D9D9D9"/>
              </w:rPr>
              <w:t xml:space="preserve">ІІ.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shd w:val="clear" w:color="auto" w:fill="D9D9D9"/>
              </w:rPr>
              <w:t>Перелік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shd w:val="clear" w:color="auto" w:fill="D9D9D9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shd w:val="clear" w:color="auto" w:fill="D9D9D9"/>
              </w:rPr>
              <w:t>інших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shd w:val="clear" w:color="auto" w:fill="D9D9D9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shd w:val="clear" w:color="auto" w:fill="D9D9D9"/>
              </w:rPr>
              <w:t>документів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shd w:val="clear" w:color="auto" w:fill="D9D9D9"/>
              </w:rPr>
              <w:t xml:space="preserve"> та/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shd w:val="clear" w:color="auto" w:fill="D9D9D9"/>
              </w:rPr>
              <w:t>або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shd w:val="clear" w:color="auto" w:fill="D9D9D9"/>
              </w:rPr>
              <w:t xml:space="preserve"> </w:t>
            </w:r>
            <w:proofErr w:type="spellStart"/>
            <w:proofErr w:type="gramStart"/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shd w:val="clear" w:color="auto" w:fill="D9D9D9"/>
              </w:rPr>
              <w:t>інформації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shd w:val="clear" w:color="auto" w:fill="D9D9D9"/>
              </w:rPr>
              <w:t xml:space="preserve">, 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shd w:val="clear" w:color="auto" w:fill="D9D9D9"/>
              </w:rPr>
              <w:t>які</w:t>
            </w:r>
            <w:proofErr w:type="spellEnd"/>
            <w:proofErr w:type="gramEnd"/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shd w:val="clear" w:color="auto" w:fill="D9D9D9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shd w:val="clear" w:color="auto" w:fill="D9D9D9"/>
              </w:rPr>
              <w:t>подаються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shd w:val="clear" w:color="auto" w:fill="D9D9D9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shd w:val="clear" w:color="auto" w:fill="D9D9D9"/>
              </w:rPr>
              <w:t>Переможцем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shd w:val="clear" w:color="auto" w:fill="D9D9D9"/>
              </w:rPr>
              <w:t>.</w:t>
            </w:r>
          </w:p>
          <w:p w14:paraId="0814C392" w14:textId="77777777" w:rsidR="004A17CC" w:rsidRDefault="004A17CC" w:rsidP="004A17CC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shd w:val="clear" w:color="auto" w:fill="D9D9D9"/>
              </w:rPr>
            </w:pPr>
          </w:p>
        </w:tc>
      </w:tr>
      <w:tr w:rsidR="004A17CC" w14:paraId="7411CC80" w14:textId="77777777" w:rsidTr="0091338C">
        <w:trPr>
          <w:trHeight w:val="566"/>
        </w:trPr>
        <w:tc>
          <w:tcPr>
            <w:tcW w:w="720" w:type="dxa"/>
          </w:tcPr>
          <w:p w14:paraId="3FC49CF5" w14:textId="77777777" w:rsidR="004A17CC" w:rsidRDefault="004A17CC" w:rsidP="004A17CC">
            <w:pPr>
              <w:ind w:left="100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1.</w:t>
            </w:r>
          </w:p>
        </w:tc>
        <w:tc>
          <w:tcPr>
            <w:tcW w:w="9405" w:type="dxa"/>
            <w:gridSpan w:val="2"/>
          </w:tcPr>
          <w:p w14:paraId="74C63CA7" w14:textId="77777777" w:rsidR="004A17CC" w:rsidRDefault="004A17CC" w:rsidP="004A17CC">
            <w:pPr>
              <w:ind w:right="12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highlight w:val="white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highlight w:val="white"/>
              </w:rPr>
              <w:t>Переможець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highlight w:val="white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highlight w:val="white"/>
              </w:rPr>
              <w:t>процедури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highlight w:val="white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highlight w:val="white"/>
              </w:rPr>
              <w:t>закупівлі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highlight w:val="white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highlight w:val="white"/>
              </w:rPr>
              <w:t>під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highlight w:val="white"/>
              </w:rPr>
              <w:t xml:space="preserve"> час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highlight w:val="white"/>
              </w:rPr>
              <w:t>укладення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highlight w:val="white"/>
              </w:rPr>
              <w:t xml:space="preserve"> договору про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highlight w:val="white"/>
              </w:rPr>
              <w:t>закупівлю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highlight w:val="white"/>
              </w:rPr>
              <w:t xml:space="preserve"> повинен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highlight w:val="white"/>
              </w:rPr>
              <w:t>надати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highlight w:val="white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highlight w:val="white"/>
              </w:rPr>
              <w:t>відповідну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highlight w:val="white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highlight w:val="white"/>
              </w:rPr>
              <w:t>інформацію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highlight w:val="white"/>
              </w:rPr>
              <w:t xml:space="preserve"> про право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highlight w:val="white"/>
              </w:rPr>
              <w:t>підписання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highlight w:val="white"/>
              </w:rPr>
              <w:t xml:space="preserve"> договору про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highlight w:val="white"/>
              </w:rPr>
              <w:t>закупівлю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highlight w:val="white"/>
              </w:rPr>
              <w:t>.</w:t>
            </w:r>
          </w:p>
        </w:tc>
      </w:tr>
      <w:tr w:rsidR="00127AB6" w:rsidRPr="00E307AB" w14:paraId="0390B7B1" w14:textId="77777777" w:rsidTr="0091338C">
        <w:trPr>
          <w:trHeight w:val="566"/>
        </w:trPr>
        <w:tc>
          <w:tcPr>
            <w:tcW w:w="720" w:type="dxa"/>
          </w:tcPr>
          <w:p w14:paraId="69DF31D3" w14:textId="2C24E4C1" w:rsidR="00127AB6" w:rsidRPr="00B0575C" w:rsidRDefault="00B0575C" w:rsidP="004A17CC">
            <w:pPr>
              <w:ind w:left="100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uk-UA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uk-UA"/>
              </w:rPr>
              <w:t>2.</w:t>
            </w:r>
          </w:p>
        </w:tc>
        <w:tc>
          <w:tcPr>
            <w:tcW w:w="9405" w:type="dxa"/>
            <w:gridSpan w:val="2"/>
          </w:tcPr>
          <w:p w14:paraId="58E54DC7" w14:textId="77777777" w:rsidR="00B0575C" w:rsidRPr="007D5BFC" w:rsidRDefault="00B0575C" w:rsidP="00B0575C">
            <w:pPr>
              <w:ind w:right="12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 w:rsidRPr="007D5BFC"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 xml:space="preserve">До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>переможця</w:t>
            </w:r>
            <w:r w:rsidRPr="007D5BFC"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 xml:space="preserve"> процедури закупівлі або його кінцевого </w:t>
            </w:r>
            <w:proofErr w:type="spellStart"/>
            <w:r w:rsidRPr="007D5BFC"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>бенефіціарного</w:t>
            </w:r>
            <w:proofErr w:type="spellEnd"/>
            <w:r w:rsidRPr="007D5BFC"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 xml:space="preserve"> власника, його члена або учасника (акціонера) юридичної особи -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>переможця</w:t>
            </w:r>
            <w:r w:rsidRPr="007D5BFC"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 xml:space="preserve"> процедури закупівлі не повинні бути застосовані обмежувальні заходи у вигляді санкцій Європейського Союзу та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>переможець</w:t>
            </w:r>
            <w:r w:rsidRPr="007D5BFC"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 xml:space="preserve"> процедури закупівлі або його кінцевий </w:t>
            </w:r>
            <w:proofErr w:type="spellStart"/>
            <w:r w:rsidRPr="007D5BFC"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>бенефіціарний</w:t>
            </w:r>
            <w:proofErr w:type="spellEnd"/>
            <w:r w:rsidRPr="007D5BFC"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 xml:space="preserve"> власник, його член </w:t>
            </w:r>
            <w:r w:rsidRPr="007D5BFC"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lastRenderedPageBreak/>
              <w:t xml:space="preserve">або учасник (акціонер) юридичної особи –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>переможця</w:t>
            </w:r>
            <w:r w:rsidRPr="007D5BFC"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 xml:space="preserve"> процедури закупівлі не повинні знаходитися у </w:t>
            </w:r>
            <w:proofErr w:type="spellStart"/>
            <w:r w:rsidRPr="007D5BFC"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>санкційному</w:t>
            </w:r>
            <w:proofErr w:type="spellEnd"/>
            <w:r w:rsidRPr="007D5BFC"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 xml:space="preserve"> списку Європейського Союзу.</w:t>
            </w:r>
          </w:p>
          <w:p w14:paraId="0D4AA460" w14:textId="6FE5A50E" w:rsidR="00127AB6" w:rsidRPr="00B0575C" w:rsidRDefault="00B0575C" w:rsidP="00B0575C">
            <w:pPr>
              <w:ind w:right="12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highlight w:val="white"/>
                <w:lang w:val="uk-UA"/>
              </w:rPr>
            </w:pPr>
            <w:r w:rsidRPr="007D5BFC"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 xml:space="preserve">Зазначена інформація має бути підтверджена шляхом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>надання</w:t>
            </w:r>
            <w:r w:rsidRPr="007D5BFC"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 xml:space="preserve"> </w:t>
            </w:r>
            <w:proofErr w:type="spellStart"/>
            <w:r w:rsidRPr="00127AB6">
              <w:rPr>
                <w:rFonts w:ascii="Times New Roman" w:eastAsia="Times New Roman" w:hAnsi="Times New Roman" w:cs="Times New Roman"/>
                <w:sz w:val="24"/>
                <w:szCs w:val="24"/>
              </w:rPr>
              <w:t>pdf</w:t>
            </w:r>
            <w:proofErr w:type="spellEnd"/>
            <w:r w:rsidRPr="007D5BFC"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 xml:space="preserve"> файлу, який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>формується</w:t>
            </w:r>
            <w:r w:rsidRPr="007D5BFC"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 xml:space="preserve"> на сайті </w:t>
            </w:r>
            <w:hyperlink r:id="rId5" w:history="1">
              <w:r w:rsidRPr="00D7041E">
                <w:rPr>
                  <w:rStyle w:val="a3"/>
                  <w:rFonts w:ascii="Times New Roman" w:eastAsia="Times New Roman" w:hAnsi="Times New Roman" w:cs="Times New Roman"/>
                  <w:sz w:val="24"/>
                  <w:szCs w:val="24"/>
                </w:rPr>
                <w:t>https</w:t>
              </w:r>
              <w:r w:rsidRPr="007D5BFC">
                <w:rPr>
                  <w:rStyle w:val="a3"/>
                  <w:rFonts w:ascii="Times New Roman" w:eastAsia="Times New Roman" w:hAnsi="Times New Roman" w:cs="Times New Roman"/>
                  <w:sz w:val="24"/>
                  <w:szCs w:val="24"/>
                  <w:lang w:val="uk-UA"/>
                </w:rPr>
                <w:t>://</w:t>
              </w:r>
              <w:r w:rsidRPr="00D7041E">
                <w:rPr>
                  <w:rStyle w:val="a3"/>
                  <w:rFonts w:ascii="Times New Roman" w:eastAsia="Times New Roman" w:hAnsi="Times New Roman" w:cs="Times New Roman"/>
                  <w:sz w:val="24"/>
                  <w:szCs w:val="24"/>
                </w:rPr>
                <w:t>www</w:t>
              </w:r>
              <w:r w:rsidRPr="007D5BFC">
                <w:rPr>
                  <w:rStyle w:val="a3"/>
                  <w:rFonts w:ascii="Times New Roman" w:eastAsia="Times New Roman" w:hAnsi="Times New Roman" w:cs="Times New Roman"/>
                  <w:sz w:val="24"/>
                  <w:szCs w:val="24"/>
                  <w:lang w:val="uk-UA"/>
                </w:rPr>
                <w:t>.</w:t>
              </w:r>
              <w:r w:rsidRPr="00D7041E">
                <w:rPr>
                  <w:rStyle w:val="a3"/>
                  <w:rFonts w:ascii="Times New Roman" w:eastAsia="Times New Roman" w:hAnsi="Times New Roman" w:cs="Times New Roman"/>
                  <w:sz w:val="24"/>
                  <w:szCs w:val="24"/>
                </w:rPr>
                <w:t>sanctionsmap</w:t>
              </w:r>
              <w:r w:rsidRPr="007D5BFC">
                <w:rPr>
                  <w:rStyle w:val="a3"/>
                  <w:rFonts w:ascii="Times New Roman" w:eastAsia="Times New Roman" w:hAnsi="Times New Roman" w:cs="Times New Roman"/>
                  <w:sz w:val="24"/>
                  <w:szCs w:val="24"/>
                  <w:lang w:val="uk-UA"/>
                </w:rPr>
                <w:t>.</w:t>
              </w:r>
              <w:proofErr w:type="spellStart"/>
              <w:r w:rsidRPr="00D7041E">
                <w:rPr>
                  <w:rStyle w:val="a3"/>
                  <w:rFonts w:ascii="Times New Roman" w:eastAsia="Times New Roman" w:hAnsi="Times New Roman" w:cs="Times New Roman"/>
                  <w:sz w:val="24"/>
                  <w:szCs w:val="24"/>
                </w:rPr>
                <w:t>eu</w:t>
              </w:r>
              <w:proofErr w:type="spellEnd"/>
            </w:hyperlink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 xml:space="preserve"> </w:t>
            </w:r>
            <w:r w:rsidRPr="007D5BFC"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 xml:space="preserve"> у відповідності до пункту 5 статті 1 Рамкової угоди щодо кожної особи, інформація про яку надана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 xml:space="preserve">учасником </w:t>
            </w:r>
            <w:r w:rsidRPr="007D5BFC"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>на виконання Статті 7 рамкової угоди.</w:t>
            </w:r>
          </w:p>
        </w:tc>
      </w:tr>
    </w:tbl>
    <w:p w14:paraId="61E3B958" w14:textId="77777777" w:rsidR="00C9235B" w:rsidRPr="00B0575C" w:rsidRDefault="00C9235B" w:rsidP="00C9235B">
      <w:pPr>
        <w:widowControl w:val="0"/>
        <w:spacing w:after="0" w:line="240" w:lineRule="auto"/>
        <w:ind w:right="120"/>
        <w:jc w:val="both"/>
        <w:rPr>
          <w:highlight w:val="green"/>
          <w:lang w:val="uk-UA"/>
        </w:rPr>
      </w:pPr>
    </w:p>
    <w:p w14:paraId="784A6013" w14:textId="77777777" w:rsidR="00F472FA" w:rsidRPr="00B0575C" w:rsidRDefault="00F472FA">
      <w:pPr>
        <w:rPr>
          <w:lang w:val="uk-UA"/>
        </w:rPr>
      </w:pPr>
    </w:p>
    <w:sectPr w:rsidR="00F472FA" w:rsidRPr="00B0575C" w:rsidSect="00011BBE">
      <w:pgSz w:w="11906" w:h="16838"/>
      <w:pgMar w:top="567" w:right="850" w:bottom="28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C3C01A7"/>
    <w:multiLevelType w:val="multilevel"/>
    <w:tmpl w:val="0E844726"/>
    <w:lvl w:ilvl="0">
      <w:start w:val="1"/>
      <w:numFmt w:val="decimal"/>
      <w:lvlText w:val="%1."/>
      <w:lvlJc w:val="left"/>
      <w:pPr>
        <w:ind w:left="460" w:hanging="360"/>
      </w:pPr>
    </w:lvl>
    <w:lvl w:ilvl="1">
      <w:start w:val="1"/>
      <w:numFmt w:val="lowerLetter"/>
      <w:lvlText w:val="%2."/>
      <w:lvlJc w:val="left"/>
      <w:pPr>
        <w:ind w:left="1180" w:hanging="360"/>
      </w:pPr>
    </w:lvl>
    <w:lvl w:ilvl="2">
      <w:start w:val="1"/>
      <w:numFmt w:val="lowerRoman"/>
      <w:lvlText w:val="%3."/>
      <w:lvlJc w:val="right"/>
      <w:pPr>
        <w:ind w:left="1900" w:hanging="180"/>
      </w:pPr>
    </w:lvl>
    <w:lvl w:ilvl="3">
      <w:start w:val="1"/>
      <w:numFmt w:val="decimal"/>
      <w:lvlText w:val="%4."/>
      <w:lvlJc w:val="left"/>
      <w:pPr>
        <w:ind w:left="2620" w:hanging="360"/>
      </w:pPr>
    </w:lvl>
    <w:lvl w:ilvl="4">
      <w:start w:val="1"/>
      <w:numFmt w:val="lowerLetter"/>
      <w:lvlText w:val="%5."/>
      <w:lvlJc w:val="left"/>
      <w:pPr>
        <w:ind w:left="3340" w:hanging="360"/>
      </w:pPr>
    </w:lvl>
    <w:lvl w:ilvl="5">
      <w:start w:val="1"/>
      <w:numFmt w:val="lowerRoman"/>
      <w:lvlText w:val="%6."/>
      <w:lvlJc w:val="right"/>
      <w:pPr>
        <w:ind w:left="4060" w:hanging="180"/>
      </w:pPr>
    </w:lvl>
    <w:lvl w:ilvl="6">
      <w:start w:val="1"/>
      <w:numFmt w:val="decimal"/>
      <w:lvlText w:val="%7."/>
      <w:lvlJc w:val="left"/>
      <w:pPr>
        <w:ind w:left="4780" w:hanging="360"/>
      </w:pPr>
    </w:lvl>
    <w:lvl w:ilvl="7">
      <w:start w:val="1"/>
      <w:numFmt w:val="lowerLetter"/>
      <w:lvlText w:val="%8."/>
      <w:lvlJc w:val="left"/>
      <w:pPr>
        <w:ind w:left="5500" w:hanging="360"/>
      </w:pPr>
    </w:lvl>
    <w:lvl w:ilvl="8">
      <w:start w:val="1"/>
      <w:numFmt w:val="lowerRoman"/>
      <w:lvlText w:val="%9."/>
      <w:lvlJc w:val="right"/>
      <w:pPr>
        <w:ind w:left="6220" w:hanging="180"/>
      </w:pPr>
    </w:lvl>
  </w:abstractNum>
  <w:num w:numId="1" w16cid:durableId="100212774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212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053D5"/>
    <w:rsid w:val="00011BBE"/>
    <w:rsid w:val="00127AB6"/>
    <w:rsid w:val="002F6659"/>
    <w:rsid w:val="004A17CC"/>
    <w:rsid w:val="005B3064"/>
    <w:rsid w:val="006053D5"/>
    <w:rsid w:val="006A3B61"/>
    <w:rsid w:val="00957A54"/>
    <w:rsid w:val="00A439EB"/>
    <w:rsid w:val="00B0575C"/>
    <w:rsid w:val="00B969C7"/>
    <w:rsid w:val="00C9235B"/>
    <w:rsid w:val="00DF704D"/>
    <w:rsid w:val="00E307AB"/>
    <w:rsid w:val="00F472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20F5801"/>
  <w15:chartTrackingRefBased/>
  <w15:docId w15:val="{C53B9C8C-D718-47BF-84F5-4FF48A3086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C9235B"/>
    <w:rPr>
      <w:rFonts w:ascii="Calibri" w:eastAsia="Calibri" w:hAnsi="Calibri" w:cs="Calibri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127AB6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www.sanctionsmap.eu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1006</Words>
  <Characters>5736</Characters>
  <Application>Microsoft Office Word</Application>
  <DocSecurity>0</DocSecurity>
  <Lines>47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2025-08-20T09:05:00Z</dcterms:created>
  <dcterms:modified xsi:type="dcterms:W3CDTF">2025-08-20T09:05:00Z</dcterms:modified>
</cp:coreProperties>
</file>